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76CB" w14:textId="3A7A311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8E0E7F">
        <w:t xml:space="preserve">Hoole CE Primary School </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0A5E36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rsidRPr="00257D37" w14:paraId="2A7D54BA" w14:textId="77777777" w:rsidTr="70A5E36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257D37" w:rsidRDefault="002940F3">
            <w:pPr>
              <w:pStyle w:val="TableRow"/>
            </w:pPr>
            <w:r w:rsidRPr="00257D37">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3F4EE10" w:rsidR="002940F3" w:rsidRPr="00257D37" w:rsidRDefault="000A64DB">
            <w:pPr>
              <w:pStyle w:val="TableRow"/>
            </w:pPr>
            <w:r w:rsidRPr="00257D37">
              <w:t>40</w:t>
            </w:r>
            <w:r w:rsidR="4B77D1D2" w:rsidRPr="00257D37">
              <w:t>6</w:t>
            </w:r>
          </w:p>
        </w:tc>
      </w:tr>
      <w:tr w:rsidR="002940F3" w:rsidRPr="00257D37" w14:paraId="2A7D54BD" w14:textId="77777777" w:rsidTr="70A5E36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257D37" w:rsidRDefault="002940F3">
            <w:pPr>
              <w:pStyle w:val="TableRow"/>
            </w:pPr>
            <w:r w:rsidRPr="00257D37">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8497928" w:rsidR="002940F3" w:rsidRPr="00257D37" w:rsidRDefault="000A64DB">
            <w:pPr>
              <w:pStyle w:val="TableRow"/>
            </w:pPr>
            <w:r w:rsidRPr="00257D37">
              <w:t>22%</w:t>
            </w:r>
          </w:p>
        </w:tc>
      </w:tr>
      <w:tr w:rsidR="002940F3" w:rsidRPr="00257D37" w14:paraId="2A7D54C0" w14:textId="77777777" w:rsidTr="70A5E36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257D37" w:rsidRDefault="002940F3">
            <w:pPr>
              <w:pStyle w:val="TableRow"/>
            </w:pPr>
            <w:r w:rsidRPr="00257D37">
              <w:t xml:space="preserve">Academic year/years that our current pupil premium strategy plan covers </w:t>
            </w:r>
            <w:r w:rsidRPr="00257D37">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3969AF9" w:rsidR="002940F3" w:rsidRPr="00257D37" w:rsidRDefault="008E0E7F">
            <w:pPr>
              <w:pStyle w:val="TableRow"/>
            </w:pPr>
            <w:r w:rsidRPr="00257D37">
              <w:t>2022-2025</w:t>
            </w:r>
          </w:p>
        </w:tc>
      </w:tr>
      <w:tr w:rsidR="002940F3" w:rsidRPr="00257D37" w14:paraId="2A7D54C3" w14:textId="77777777" w:rsidTr="70A5E36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257D37" w:rsidRDefault="002940F3">
            <w:pPr>
              <w:pStyle w:val="TableRow"/>
            </w:pPr>
            <w:r w:rsidRPr="00257D37">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D01F5EB" w:rsidR="002940F3" w:rsidRPr="00257D37" w:rsidRDefault="008E0E7F">
            <w:pPr>
              <w:pStyle w:val="TableRow"/>
            </w:pPr>
            <w:r w:rsidRPr="00257D37">
              <w:t>December 2022</w:t>
            </w:r>
          </w:p>
        </w:tc>
      </w:tr>
      <w:tr w:rsidR="002940F3" w:rsidRPr="00257D37" w14:paraId="2A7D54C6" w14:textId="77777777" w:rsidTr="70A5E36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257D37" w:rsidRDefault="002940F3">
            <w:pPr>
              <w:pStyle w:val="TableRow"/>
            </w:pPr>
            <w:r w:rsidRPr="00257D37">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E52B37F" w:rsidR="002940F3" w:rsidRPr="00257D37" w:rsidRDefault="008E0E7F">
            <w:pPr>
              <w:pStyle w:val="TableRow"/>
            </w:pPr>
            <w:r w:rsidRPr="00257D37">
              <w:t>November 2023</w:t>
            </w:r>
          </w:p>
        </w:tc>
      </w:tr>
      <w:tr w:rsidR="002940F3" w:rsidRPr="00257D37" w14:paraId="2A7D54C9" w14:textId="77777777" w:rsidTr="70A5E36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257D37" w:rsidRDefault="002940F3">
            <w:pPr>
              <w:pStyle w:val="TableRow"/>
            </w:pPr>
            <w:r w:rsidRPr="00257D37">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FB069AA" w:rsidR="002940F3" w:rsidRPr="00257D37" w:rsidRDefault="008E0E7F">
            <w:pPr>
              <w:pStyle w:val="TableRow"/>
            </w:pPr>
            <w:r w:rsidRPr="00257D37">
              <w:t>Rosalind Flanders</w:t>
            </w:r>
          </w:p>
        </w:tc>
      </w:tr>
      <w:tr w:rsidR="002940F3" w:rsidRPr="00257D37" w14:paraId="2A7D54CC" w14:textId="77777777" w:rsidTr="70A5E36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257D37" w:rsidRDefault="002940F3">
            <w:pPr>
              <w:pStyle w:val="TableRow"/>
            </w:pPr>
            <w:r w:rsidRPr="00257D37">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943309A" w:rsidR="002940F3" w:rsidRPr="00257D37" w:rsidRDefault="008E0E7F">
            <w:pPr>
              <w:pStyle w:val="TableRow"/>
            </w:pPr>
            <w:r w:rsidRPr="00257D37">
              <w:t>Clare Watling</w:t>
            </w:r>
          </w:p>
        </w:tc>
      </w:tr>
      <w:tr w:rsidR="002940F3" w:rsidRPr="00257D37" w14:paraId="2A7D54CF" w14:textId="77777777" w:rsidTr="70A5E36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257D37" w:rsidRDefault="002940F3">
            <w:pPr>
              <w:pStyle w:val="TableRow"/>
            </w:pPr>
            <w:r w:rsidRPr="00257D37">
              <w:t xml:space="preserve">Governor </w:t>
            </w:r>
            <w:r w:rsidRPr="00257D37">
              <w:rPr>
                <w:szCs w:val="22"/>
              </w:rPr>
              <w:t xml:space="preserve">/ Trustee </w:t>
            </w:r>
            <w:r w:rsidRPr="00257D37">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77777" w:rsidR="002940F3" w:rsidRPr="00257D37" w:rsidRDefault="002940F3">
            <w:pPr>
              <w:pStyle w:val="TableRow"/>
            </w:pPr>
          </w:p>
        </w:tc>
      </w:tr>
    </w:tbl>
    <w:bookmarkEnd w:id="2"/>
    <w:bookmarkEnd w:id="3"/>
    <w:bookmarkEnd w:id="4"/>
    <w:p w14:paraId="2A7D54D3" w14:textId="77777777" w:rsidR="00E66558" w:rsidRPr="00257D37" w:rsidRDefault="009D71E8" w:rsidP="005464A1">
      <w:pPr>
        <w:pStyle w:val="Heading2"/>
      </w:pPr>
      <w:r w:rsidRPr="00257D37">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57D37"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257D37" w:rsidRDefault="009D71E8">
            <w:pPr>
              <w:pStyle w:val="TableRow"/>
            </w:pPr>
            <w:r w:rsidRPr="00257D37">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257D37" w:rsidRDefault="009D71E8">
            <w:pPr>
              <w:pStyle w:val="TableRow"/>
            </w:pPr>
            <w:r w:rsidRPr="00257D37">
              <w:rPr>
                <w:b/>
              </w:rPr>
              <w:t>Amount</w:t>
            </w:r>
          </w:p>
        </w:tc>
      </w:tr>
      <w:tr w:rsidR="00E66558" w:rsidRPr="00257D37"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257D37" w:rsidRDefault="009D71E8">
            <w:pPr>
              <w:pStyle w:val="TableRow"/>
            </w:pPr>
            <w:r w:rsidRPr="00257D37">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5D2C422" w:rsidR="00E66558" w:rsidRPr="00257D37" w:rsidRDefault="00F557FA">
            <w:pPr>
              <w:pStyle w:val="TableRow"/>
            </w:pPr>
            <w:r w:rsidRPr="00257D37">
              <w:t>£118,335.00</w:t>
            </w:r>
          </w:p>
        </w:tc>
      </w:tr>
      <w:tr w:rsidR="00E66558" w:rsidRPr="00257D37"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257D37" w:rsidRDefault="009D71E8">
            <w:pPr>
              <w:pStyle w:val="TableRow"/>
            </w:pPr>
            <w:r w:rsidRPr="00257D37">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14931F7" w:rsidR="00E66558" w:rsidRPr="00257D37" w:rsidRDefault="009D71E8">
            <w:pPr>
              <w:pStyle w:val="TableRow"/>
            </w:pPr>
            <w:r w:rsidRPr="00257D37">
              <w:t>£</w:t>
            </w:r>
            <w:r w:rsidR="00F557FA" w:rsidRPr="00257D37">
              <w:t>11,962.50</w:t>
            </w:r>
          </w:p>
        </w:tc>
      </w:tr>
      <w:tr w:rsidR="00E66558" w:rsidRPr="00257D37"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257D37" w:rsidRDefault="009D71E8" w:rsidP="009C0914">
            <w:pPr>
              <w:pStyle w:val="TableRow"/>
              <w:spacing w:after="120"/>
            </w:pPr>
            <w:r w:rsidRPr="00257D37">
              <w:t xml:space="preserve">Pupil premium </w:t>
            </w:r>
            <w:r w:rsidR="006E0786" w:rsidRPr="00257D37">
              <w:t>(and recovery premium</w:t>
            </w:r>
            <w:r w:rsidR="001E206F" w:rsidRPr="00257D37">
              <w:t xml:space="preserve">*) </w:t>
            </w:r>
            <w:r w:rsidRPr="00257D37">
              <w:t xml:space="preserve">funding carried forward from previous years </w:t>
            </w:r>
            <w:r w:rsidRPr="00257D37">
              <w:rPr>
                <w:i/>
                <w:iCs/>
              </w:rPr>
              <w:t>(enter £0 if not applicable)</w:t>
            </w:r>
          </w:p>
          <w:p w14:paraId="2A7D54DD" w14:textId="70EB550D" w:rsidR="001E206F" w:rsidRPr="00257D37" w:rsidRDefault="001E206F">
            <w:pPr>
              <w:pStyle w:val="TableRow"/>
              <w:rPr>
                <w:i/>
                <w:iCs/>
              </w:rPr>
            </w:pPr>
            <w:r w:rsidRPr="00257D37">
              <w:rPr>
                <w:i/>
                <w:iCs/>
              </w:rPr>
              <w:t>*</w:t>
            </w:r>
            <w:r w:rsidR="009C0914" w:rsidRPr="00257D37">
              <w:rPr>
                <w:i/>
                <w:iCs/>
              </w:rPr>
              <w:t>Recovery</w:t>
            </w:r>
            <w:r w:rsidRPr="00257D37">
              <w:rPr>
                <w:i/>
                <w:iCs/>
              </w:rPr>
              <w:t xml:space="preserve"> premium </w:t>
            </w:r>
            <w:r w:rsidR="002940F3" w:rsidRPr="00257D37">
              <w:rPr>
                <w:i/>
                <w:iCs/>
              </w:rPr>
              <w:t>received in</w:t>
            </w:r>
            <w:r w:rsidR="00D877D0" w:rsidRPr="00257D37">
              <w:rPr>
                <w:i/>
                <w:iCs/>
              </w:rPr>
              <w:t xml:space="preserve"> </w:t>
            </w:r>
            <w:r w:rsidR="000D6596" w:rsidRPr="00257D37">
              <w:rPr>
                <w:i/>
                <w:iCs/>
              </w:rPr>
              <w:t xml:space="preserve">academic year </w:t>
            </w:r>
            <w:r w:rsidR="0092287F" w:rsidRPr="00257D37">
              <w:rPr>
                <w:i/>
                <w:iCs/>
              </w:rPr>
              <w:t>2021 to 2022 can be carried forward to</w:t>
            </w:r>
            <w:r w:rsidR="00ED5108" w:rsidRPr="00257D37">
              <w:rPr>
                <w:i/>
                <w:iCs/>
              </w:rPr>
              <w:t xml:space="preserve"> academic year</w:t>
            </w:r>
            <w:r w:rsidR="005E73F1" w:rsidRPr="00257D37">
              <w:rPr>
                <w:i/>
                <w:iCs/>
              </w:rPr>
              <w:t xml:space="preserve"> 2022 to 2023</w:t>
            </w:r>
            <w:r w:rsidR="00ED5108" w:rsidRPr="00257D37">
              <w:rPr>
                <w:i/>
                <w:iCs/>
              </w:rPr>
              <w:t>. Recovery premium received in academic year</w:t>
            </w:r>
            <w:r w:rsidR="005E73F1" w:rsidRPr="00257D37">
              <w:rPr>
                <w:i/>
                <w:iCs/>
              </w:rPr>
              <w:t xml:space="preserve"> 2022 to 2023</w:t>
            </w:r>
            <w:r w:rsidR="00ED5108" w:rsidRPr="00257D37">
              <w:rPr>
                <w:i/>
                <w:iCs/>
              </w:rPr>
              <w:t xml:space="preserve"> cannot be carried forward to 2023 to 2024.</w:t>
            </w:r>
            <w:r w:rsidR="0092287F" w:rsidRPr="00257D37">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CF0F161" w:rsidR="00E66558" w:rsidRPr="00257D37" w:rsidRDefault="009D71E8">
            <w:pPr>
              <w:pStyle w:val="TableRow"/>
            </w:pPr>
            <w:r w:rsidRPr="00257D37">
              <w:t>£</w:t>
            </w:r>
            <w:r w:rsidR="000A64DB" w:rsidRPr="00257D37">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257D37" w:rsidRDefault="009D71E8" w:rsidP="009C0914">
            <w:pPr>
              <w:pStyle w:val="TableRow"/>
              <w:spacing w:after="120"/>
              <w:rPr>
                <w:b/>
              </w:rPr>
            </w:pPr>
            <w:r w:rsidRPr="00257D37">
              <w:rPr>
                <w:b/>
              </w:rPr>
              <w:t>Total budget for this academic year</w:t>
            </w:r>
          </w:p>
          <w:p w14:paraId="2A7D54E1" w14:textId="77777777" w:rsidR="00E66558" w:rsidRPr="00257D37" w:rsidRDefault="009D71E8">
            <w:pPr>
              <w:pStyle w:val="TableRow"/>
              <w:rPr>
                <w:i/>
                <w:iCs/>
              </w:rPr>
            </w:pPr>
            <w:r w:rsidRPr="00257D37">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640787A" w:rsidR="00E66558" w:rsidRPr="00257D37" w:rsidRDefault="009D71E8">
            <w:pPr>
              <w:pStyle w:val="TableRow"/>
            </w:pPr>
            <w:r w:rsidRPr="00257D37">
              <w:t>£</w:t>
            </w:r>
            <w:r w:rsidR="00F557FA" w:rsidRPr="00257D37">
              <w:t>130,297.50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447A846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9" w14:textId="13E8DAFF" w:rsidR="00E66558" w:rsidRPr="008E0E7F" w:rsidRDefault="008E0E7F" w:rsidP="447A8466">
            <w:pPr>
              <w:rPr>
                <w:i/>
                <w:iCs/>
              </w:rPr>
            </w:pPr>
            <w:r>
              <w:rPr>
                <w:rStyle w:val="normaltextrun"/>
                <w:rFonts w:cs="Arial"/>
                <w:shd w:val="clear" w:color="auto" w:fill="FFFFFF"/>
              </w:rPr>
              <w:t xml:space="preserve">In line with the Church of England vision for education, our </w:t>
            </w:r>
            <w:r w:rsidR="4C970A8C">
              <w:rPr>
                <w:rStyle w:val="normaltextrun"/>
                <w:rFonts w:cs="Arial"/>
                <w:shd w:val="clear" w:color="auto" w:fill="FFFFFF"/>
              </w:rPr>
              <w:t xml:space="preserve">aim </w:t>
            </w:r>
            <w:r>
              <w:rPr>
                <w:rStyle w:val="normaltextrun"/>
                <w:rFonts w:cs="Arial"/>
                <w:shd w:val="clear" w:color="auto" w:fill="FFFFFF"/>
              </w:rPr>
              <w:t xml:space="preserve">for all children, including children who are disadvantaged is that they can experience life in all its fullness. Our intention is that all children are enabled to ‘let their light shine’ through exposure to a rich and broad curriculum. We want all pupils to achieve the highest academic standards that they can in all areas of the curriculum and want to ensure that any barriers than hinder this are overcome as quickly and as fully as possible. The focus of our pupil premium strategy is to support disadvantaged children achieve this through a clear identification of primary barriers and targeted support to overcome these.  As a school, we are committed to access and ambition – overcoming barriers children have in accessing the curriculum and ensuring that we provide an ambitious curriculum for all children. High quality teaching is our primary strategy as we know this is the most important strategy in overcoming the gap between disadvantaged children and their non-disadvantaged peers but we recognise too that targeted academic support may be needed also to address specific gaps or to accelerate progress for some disadvantaged children. This has become more evident because of the coronavirus pandemic which has led to school closures in recent years. It is recognised that disadvantaged children were impacted most by the partial school closures caused by the pandemic. We also recognise that for many disadvantaged children there are other barriers to accessing learning such as attendance and mental health and wellbeing, which need addressing to enable more successful engagement with academic learning. Our approach is based on diagnostic assessment of needs and evidenced based research. We recognise the need to act early and decisively to help minimise the impact of disadvantage, Robust monitoring is undertaken by class teachers and senior leaders to ensure we have a flexible and responsive process. </w:t>
            </w:r>
            <w:r w:rsidRPr="447A8466">
              <w:rPr>
                <w:rStyle w:val="normaltextrun"/>
                <w:rFonts w:cs="Arial"/>
                <w:i/>
                <w:iCs/>
                <w:shd w:val="clear" w:color="auto" w:fill="FFFFFF"/>
              </w:rPr>
              <w:t>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0A5E36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0A5E36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C20DA47" w:rsidR="00E66558" w:rsidRPr="008E0E7F" w:rsidRDefault="008E0E7F" w:rsidP="00AB168C">
            <w:pPr>
              <w:pStyle w:val="TableRowCentered"/>
              <w:jc w:val="left"/>
            </w:pPr>
            <w:r w:rsidRPr="008E0E7F">
              <w:rPr>
                <w:iCs/>
                <w:sz w:val="22"/>
                <w:szCs w:val="22"/>
              </w:rPr>
              <w:t>Disadvantaged children start school with lower attainment and more gaps in learning than</w:t>
            </w:r>
            <w:r>
              <w:rPr>
                <w:iCs/>
                <w:sz w:val="22"/>
                <w:szCs w:val="22"/>
              </w:rPr>
              <w:t xml:space="preserve"> their non-disadvantaged peers resulting in </w:t>
            </w:r>
            <w:r w:rsidR="00AB168C">
              <w:rPr>
                <w:iCs/>
                <w:sz w:val="22"/>
                <w:szCs w:val="22"/>
              </w:rPr>
              <w:t xml:space="preserve">a smaller proportion of disadvantaged children attaining the Early Learning Goals </w:t>
            </w:r>
            <w:r w:rsidRPr="008E0E7F">
              <w:rPr>
                <w:iCs/>
                <w:sz w:val="22"/>
                <w:szCs w:val="22"/>
              </w:rPr>
              <w:t xml:space="preserve"> </w:t>
            </w:r>
          </w:p>
        </w:tc>
      </w:tr>
      <w:tr w:rsidR="0041070E" w14:paraId="47540A52" w14:textId="77777777" w:rsidTr="70A5E36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22BB1" w14:textId="0A60B775" w:rsidR="0041070E" w:rsidRDefault="0041070E">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2508D" w14:textId="31801845" w:rsidR="0041070E" w:rsidRDefault="1D34B008">
            <w:pPr>
              <w:pStyle w:val="TableRowCentered"/>
              <w:jc w:val="left"/>
            </w:pPr>
            <w:r>
              <w:t xml:space="preserve">Attainment in reading, writing and maths is </w:t>
            </w:r>
            <w:r w:rsidR="77E081E5">
              <w:t xml:space="preserve">lower for disadvantaged children than their non-disadvantaged peers in all year groups. </w:t>
            </w:r>
            <w:r w:rsidR="18D3E66F">
              <w:t xml:space="preserve">Whilst </w:t>
            </w:r>
            <w:r w:rsidR="18D3E66F">
              <w:lastRenderedPageBreak/>
              <w:t xml:space="preserve">disadvantaged pupils on the whole make the same or better progress than non-disadvantaged peers, the gap between them has not closed. </w:t>
            </w:r>
          </w:p>
          <w:tbl>
            <w:tblPr>
              <w:tblStyle w:val="TableGrid"/>
              <w:tblW w:w="0" w:type="auto"/>
              <w:tblInd w:w="57" w:type="dxa"/>
              <w:tblLook w:val="06A0" w:firstRow="1" w:lastRow="0" w:firstColumn="1" w:lastColumn="0" w:noHBand="1" w:noVBand="1"/>
            </w:tblPr>
            <w:tblGrid>
              <w:gridCol w:w="885"/>
              <w:gridCol w:w="1365"/>
              <w:gridCol w:w="1440"/>
              <w:gridCol w:w="1560"/>
            </w:tblGrid>
            <w:tr w:rsidR="447A8466" w14:paraId="24A4F145" w14:textId="77777777" w:rsidTr="447A8466">
              <w:tc>
                <w:tcPr>
                  <w:tcW w:w="885" w:type="dxa"/>
                </w:tcPr>
                <w:p w14:paraId="586C1A2A" w14:textId="3BF3569D" w:rsidR="0B39B34D" w:rsidRDefault="0B39B34D" w:rsidP="447A8466">
                  <w:pPr>
                    <w:pStyle w:val="TableRowCentered"/>
                    <w:rPr>
                      <w:sz w:val="20"/>
                    </w:rPr>
                  </w:pPr>
                  <w:r w:rsidRPr="447A8466">
                    <w:rPr>
                      <w:sz w:val="20"/>
                    </w:rPr>
                    <w:t xml:space="preserve">Year </w:t>
                  </w:r>
                </w:p>
              </w:tc>
              <w:tc>
                <w:tcPr>
                  <w:tcW w:w="1365" w:type="dxa"/>
                </w:tcPr>
                <w:p w14:paraId="6822D397" w14:textId="4AC67FA4" w:rsidR="0B39B34D" w:rsidRDefault="0B39B34D" w:rsidP="447A8466">
                  <w:pPr>
                    <w:pStyle w:val="TableRowCentered"/>
                    <w:rPr>
                      <w:sz w:val="20"/>
                    </w:rPr>
                  </w:pPr>
                  <w:r w:rsidRPr="447A8466">
                    <w:rPr>
                      <w:sz w:val="20"/>
                    </w:rPr>
                    <w:t>Reading</w:t>
                  </w:r>
                </w:p>
              </w:tc>
              <w:tc>
                <w:tcPr>
                  <w:tcW w:w="1440" w:type="dxa"/>
                </w:tcPr>
                <w:p w14:paraId="4A417DAD" w14:textId="53E770D0" w:rsidR="0B39B34D" w:rsidRDefault="0B39B34D" w:rsidP="447A8466">
                  <w:pPr>
                    <w:pStyle w:val="TableRowCentered"/>
                    <w:rPr>
                      <w:sz w:val="20"/>
                    </w:rPr>
                  </w:pPr>
                  <w:r w:rsidRPr="447A8466">
                    <w:rPr>
                      <w:sz w:val="20"/>
                    </w:rPr>
                    <w:t>Writing</w:t>
                  </w:r>
                </w:p>
              </w:tc>
              <w:tc>
                <w:tcPr>
                  <w:tcW w:w="1560" w:type="dxa"/>
                </w:tcPr>
                <w:p w14:paraId="3F76BE1F" w14:textId="1D72E03B" w:rsidR="0B39B34D" w:rsidRDefault="0B39B34D" w:rsidP="447A8466">
                  <w:pPr>
                    <w:pStyle w:val="TableRowCentered"/>
                    <w:rPr>
                      <w:sz w:val="20"/>
                    </w:rPr>
                  </w:pPr>
                  <w:r w:rsidRPr="447A8466">
                    <w:rPr>
                      <w:sz w:val="20"/>
                    </w:rPr>
                    <w:t>Maths</w:t>
                  </w:r>
                </w:p>
              </w:tc>
            </w:tr>
            <w:tr w:rsidR="447A8466" w14:paraId="5709BFA1" w14:textId="77777777" w:rsidTr="447A8466">
              <w:tc>
                <w:tcPr>
                  <w:tcW w:w="885" w:type="dxa"/>
                </w:tcPr>
                <w:p w14:paraId="237246AD" w14:textId="06A4D866" w:rsidR="0B39B34D" w:rsidRDefault="0B39B34D" w:rsidP="447A8466">
                  <w:pPr>
                    <w:pStyle w:val="TableRowCentered"/>
                    <w:rPr>
                      <w:sz w:val="20"/>
                    </w:rPr>
                  </w:pPr>
                  <w:r w:rsidRPr="447A8466">
                    <w:rPr>
                      <w:sz w:val="20"/>
                    </w:rPr>
                    <w:t>1</w:t>
                  </w:r>
                </w:p>
              </w:tc>
              <w:tc>
                <w:tcPr>
                  <w:tcW w:w="1365" w:type="dxa"/>
                </w:tcPr>
                <w:p w14:paraId="5360349F" w14:textId="50C81112" w:rsidR="0B39B34D" w:rsidRDefault="0B39B34D" w:rsidP="447A8466">
                  <w:pPr>
                    <w:pStyle w:val="TableRowCentered"/>
                    <w:rPr>
                      <w:sz w:val="20"/>
                    </w:rPr>
                  </w:pPr>
                  <w:r w:rsidRPr="447A8466">
                    <w:rPr>
                      <w:sz w:val="20"/>
                    </w:rPr>
                    <w:t>50%</w:t>
                  </w:r>
                </w:p>
              </w:tc>
              <w:tc>
                <w:tcPr>
                  <w:tcW w:w="1440" w:type="dxa"/>
                </w:tcPr>
                <w:p w14:paraId="79623B3E" w14:textId="0F028D6D" w:rsidR="447A8466" w:rsidRDefault="447A8466" w:rsidP="447A8466">
                  <w:pPr>
                    <w:pStyle w:val="TableRowCentered"/>
                    <w:rPr>
                      <w:sz w:val="20"/>
                    </w:rPr>
                  </w:pPr>
                  <w:r w:rsidRPr="447A8466">
                    <w:rPr>
                      <w:sz w:val="20"/>
                    </w:rPr>
                    <w:t>40%</w:t>
                  </w:r>
                </w:p>
              </w:tc>
              <w:tc>
                <w:tcPr>
                  <w:tcW w:w="1560" w:type="dxa"/>
                </w:tcPr>
                <w:p w14:paraId="601C4178" w14:textId="7EE44BEC" w:rsidR="73C14E08" w:rsidRDefault="73C14E08" w:rsidP="447A8466">
                  <w:pPr>
                    <w:pStyle w:val="TableRowCentered"/>
                    <w:rPr>
                      <w:sz w:val="20"/>
                    </w:rPr>
                  </w:pPr>
                  <w:r w:rsidRPr="447A8466">
                    <w:rPr>
                      <w:sz w:val="20"/>
                    </w:rPr>
                    <w:t>40%</w:t>
                  </w:r>
                </w:p>
              </w:tc>
            </w:tr>
            <w:tr w:rsidR="447A8466" w14:paraId="3D54E59E" w14:textId="77777777" w:rsidTr="447A8466">
              <w:tc>
                <w:tcPr>
                  <w:tcW w:w="885" w:type="dxa"/>
                </w:tcPr>
                <w:p w14:paraId="366779B3" w14:textId="408DB5DC" w:rsidR="0B39B34D" w:rsidRDefault="0B39B34D" w:rsidP="447A8466">
                  <w:pPr>
                    <w:pStyle w:val="TableRowCentered"/>
                    <w:rPr>
                      <w:sz w:val="20"/>
                    </w:rPr>
                  </w:pPr>
                  <w:r w:rsidRPr="447A8466">
                    <w:rPr>
                      <w:sz w:val="20"/>
                    </w:rPr>
                    <w:t>2</w:t>
                  </w:r>
                </w:p>
              </w:tc>
              <w:tc>
                <w:tcPr>
                  <w:tcW w:w="1365" w:type="dxa"/>
                </w:tcPr>
                <w:p w14:paraId="372F56C3" w14:textId="4066E93C" w:rsidR="0B39B34D" w:rsidRDefault="0B39B34D" w:rsidP="447A8466">
                  <w:pPr>
                    <w:pStyle w:val="TableRowCentered"/>
                    <w:rPr>
                      <w:sz w:val="20"/>
                    </w:rPr>
                  </w:pPr>
                  <w:r w:rsidRPr="447A8466">
                    <w:rPr>
                      <w:sz w:val="20"/>
                    </w:rPr>
                    <w:t>38%</w:t>
                  </w:r>
                </w:p>
              </w:tc>
              <w:tc>
                <w:tcPr>
                  <w:tcW w:w="1440" w:type="dxa"/>
                </w:tcPr>
                <w:p w14:paraId="1F9AB0C8" w14:textId="52BD465A" w:rsidR="447A8466" w:rsidRDefault="447A8466" w:rsidP="447A8466">
                  <w:pPr>
                    <w:pStyle w:val="TableRowCentered"/>
                    <w:rPr>
                      <w:sz w:val="20"/>
                    </w:rPr>
                  </w:pPr>
                  <w:r w:rsidRPr="447A8466">
                    <w:rPr>
                      <w:sz w:val="20"/>
                    </w:rPr>
                    <w:t>38%</w:t>
                  </w:r>
                </w:p>
              </w:tc>
              <w:tc>
                <w:tcPr>
                  <w:tcW w:w="1560" w:type="dxa"/>
                </w:tcPr>
                <w:p w14:paraId="136C2AC8" w14:textId="644CA4D9" w:rsidR="447A8466" w:rsidRDefault="447A8466" w:rsidP="447A8466">
                  <w:pPr>
                    <w:pStyle w:val="TableRowCentered"/>
                    <w:rPr>
                      <w:sz w:val="20"/>
                    </w:rPr>
                  </w:pPr>
                  <w:r w:rsidRPr="447A8466">
                    <w:rPr>
                      <w:sz w:val="20"/>
                    </w:rPr>
                    <w:t>38%</w:t>
                  </w:r>
                </w:p>
              </w:tc>
            </w:tr>
            <w:tr w:rsidR="447A8466" w14:paraId="2DC6378F" w14:textId="77777777" w:rsidTr="447A8466">
              <w:tc>
                <w:tcPr>
                  <w:tcW w:w="885" w:type="dxa"/>
                </w:tcPr>
                <w:p w14:paraId="598494F0" w14:textId="4D06B1C0" w:rsidR="0B39B34D" w:rsidRDefault="0B39B34D" w:rsidP="447A8466">
                  <w:pPr>
                    <w:pStyle w:val="TableRowCentered"/>
                    <w:rPr>
                      <w:sz w:val="20"/>
                    </w:rPr>
                  </w:pPr>
                  <w:r w:rsidRPr="447A8466">
                    <w:rPr>
                      <w:sz w:val="20"/>
                    </w:rPr>
                    <w:t>3</w:t>
                  </w:r>
                </w:p>
              </w:tc>
              <w:tc>
                <w:tcPr>
                  <w:tcW w:w="1365" w:type="dxa"/>
                </w:tcPr>
                <w:p w14:paraId="44BA26A0" w14:textId="1E19A0F0" w:rsidR="0B39B34D" w:rsidRDefault="0B39B34D" w:rsidP="447A8466">
                  <w:pPr>
                    <w:pStyle w:val="TableRowCentered"/>
                    <w:rPr>
                      <w:sz w:val="20"/>
                    </w:rPr>
                  </w:pPr>
                  <w:r w:rsidRPr="447A8466">
                    <w:rPr>
                      <w:sz w:val="20"/>
                    </w:rPr>
                    <w:t>22%</w:t>
                  </w:r>
                </w:p>
              </w:tc>
              <w:tc>
                <w:tcPr>
                  <w:tcW w:w="1440" w:type="dxa"/>
                </w:tcPr>
                <w:p w14:paraId="25C4FF19" w14:textId="2EFBE6B0" w:rsidR="447A8466" w:rsidRDefault="447A8466" w:rsidP="447A8466">
                  <w:pPr>
                    <w:pStyle w:val="TableRowCentered"/>
                    <w:rPr>
                      <w:sz w:val="20"/>
                    </w:rPr>
                  </w:pPr>
                  <w:r w:rsidRPr="447A8466">
                    <w:rPr>
                      <w:sz w:val="20"/>
                    </w:rPr>
                    <w:t>22%</w:t>
                  </w:r>
                </w:p>
              </w:tc>
              <w:tc>
                <w:tcPr>
                  <w:tcW w:w="1560" w:type="dxa"/>
                </w:tcPr>
                <w:p w14:paraId="00B066AE" w14:textId="150B3790" w:rsidR="447A8466" w:rsidRDefault="447A8466" w:rsidP="447A8466">
                  <w:pPr>
                    <w:pStyle w:val="TableRowCentered"/>
                    <w:rPr>
                      <w:sz w:val="20"/>
                    </w:rPr>
                  </w:pPr>
                  <w:r w:rsidRPr="447A8466">
                    <w:rPr>
                      <w:sz w:val="20"/>
                    </w:rPr>
                    <w:t>55%</w:t>
                  </w:r>
                </w:p>
              </w:tc>
            </w:tr>
            <w:tr w:rsidR="447A8466" w14:paraId="4F79A2C0" w14:textId="77777777" w:rsidTr="447A8466">
              <w:tc>
                <w:tcPr>
                  <w:tcW w:w="885" w:type="dxa"/>
                </w:tcPr>
                <w:p w14:paraId="2CAF82A8" w14:textId="0A97B33F" w:rsidR="0B39B34D" w:rsidRDefault="0B39B34D" w:rsidP="447A8466">
                  <w:pPr>
                    <w:pStyle w:val="TableRowCentered"/>
                    <w:rPr>
                      <w:sz w:val="20"/>
                    </w:rPr>
                  </w:pPr>
                  <w:r w:rsidRPr="447A8466">
                    <w:rPr>
                      <w:sz w:val="20"/>
                    </w:rPr>
                    <w:t>4</w:t>
                  </w:r>
                </w:p>
              </w:tc>
              <w:tc>
                <w:tcPr>
                  <w:tcW w:w="1365" w:type="dxa"/>
                </w:tcPr>
                <w:p w14:paraId="35EE3CBF" w14:textId="0F2C2841" w:rsidR="5871F2C1" w:rsidRDefault="5871F2C1" w:rsidP="447A8466">
                  <w:pPr>
                    <w:pStyle w:val="TableRowCentered"/>
                    <w:rPr>
                      <w:sz w:val="20"/>
                    </w:rPr>
                  </w:pPr>
                  <w:r w:rsidRPr="447A8466">
                    <w:rPr>
                      <w:sz w:val="20"/>
                    </w:rPr>
                    <w:t>50%</w:t>
                  </w:r>
                </w:p>
              </w:tc>
              <w:tc>
                <w:tcPr>
                  <w:tcW w:w="1440" w:type="dxa"/>
                </w:tcPr>
                <w:p w14:paraId="1AF07E08" w14:textId="524FB03B" w:rsidR="303D93E9" w:rsidRDefault="303D93E9" w:rsidP="447A8466">
                  <w:pPr>
                    <w:pStyle w:val="TableRowCentered"/>
                    <w:rPr>
                      <w:sz w:val="20"/>
                    </w:rPr>
                  </w:pPr>
                  <w:r w:rsidRPr="447A8466">
                    <w:rPr>
                      <w:sz w:val="20"/>
                    </w:rPr>
                    <w:t>31%</w:t>
                  </w:r>
                </w:p>
              </w:tc>
              <w:tc>
                <w:tcPr>
                  <w:tcW w:w="1560" w:type="dxa"/>
                </w:tcPr>
                <w:p w14:paraId="4AFA3E55" w14:textId="0F99C7A7" w:rsidR="447A8466" w:rsidRDefault="447A8466" w:rsidP="447A8466">
                  <w:pPr>
                    <w:pStyle w:val="TableRowCentered"/>
                    <w:rPr>
                      <w:sz w:val="20"/>
                    </w:rPr>
                  </w:pPr>
                  <w:r w:rsidRPr="447A8466">
                    <w:rPr>
                      <w:sz w:val="20"/>
                    </w:rPr>
                    <w:t>37%</w:t>
                  </w:r>
                </w:p>
              </w:tc>
            </w:tr>
            <w:tr w:rsidR="447A8466" w14:paraId="54258F6D" w14:textId="77777777" w:rsidTr="447A8466">
              <w:tc>
                <w:tcPr>
                  <w:tcW w:w="885" w:type="dxa"/>
                </w:tcPr>
                <w:p w14:paraId="6BFE16E4" w14:textId="4E7C6527" w:rsidR="0B39B34D" w:rsidRDefault="0B39B34D" w:rsidP="447A8466">
                  <w:pPr>
                    <w:pStyle w:val="TableRowCentered"/>
                    <w:rPr>
                      <w:sz w:val="20"/>
                    </w:rPr>
                  </w:pPr>
                  <w:r w:rsidRPr="447A8466">
                    <w:rPr>
                      <w:sz w:val="20"/>
                    </w:rPr>
                    <w:t>5</w:t>
                  </w:r>
                </w:p>
              </w:tc>
              <w:tc>
                <w:tcPr>
                  <w:tcW w:w="1365" w:type="dxa"/>
                </w:tcPr>
                <w:p w14:paraId="5F1BF953" w14:textId="2E3F729A" w:rsidR="1933E46A" w:rsidRDefault="1933E46A" w:rsidP="447A8466">
                  <w:pPr>
                    <w:pStyle w:val="TableRowCentered"/>
                    <w:rPr>
                      <w:sz w:val="20"/>
                    </w:rPr>
                  </w:pPr>
                  <w:r w:rsidRPr="447A8466">
                    <w:rPr>
                      <w:sz w:val="20"/>
                    </w:rPr>
                    <w:t>50%</w:t>
                  </w:r>
                </w:p>
              </w:tc>
              <w:tc>
                <w:tcPr>
                  <w:tcW w:w="1440" w:type="dxa"/>
                </w:tcPr>
                <w:p w14:paraId="605E9CA9" w14:textId="2D6FFD00" w:rsidR="6111BCFE" w:rsidRDefault="6111BCFE" w:rsidP="447A8466">
                  <w:pPr>
                    <w:pStyle w:val="TableRowCentered"/>
                    <w:rPr>
                      <w:sz w:val="20"/>
                    </w:rPr>
                  </w:pPr>
                  <w:r w:rsidRPr="447A8466">
                    <w:rPr>
                      <w:sz w:val="20"/>
                    </w:rPr>
                    <w:t>19%</w:t>
                  </w:r>
                </w:p>
              </w:tc>
              <w:tc>
                <w:tcPr>
                  <w:tcW w:w="1560" w:type="dxa"/>
                </w:tcPr>
                <w:p w14:paraId="3978B9B9" w14:textId="47D49707" w:rsidR="447A8466" w:rsidRDefault="447A8466" w:rsidP="447A8466">
                  <w:pPr>
                    <w:pStyle w:val="TableRowCentered"/>
                    <w:rPr>
                      <w:sz w:val="20"/>
                    </w:rPr>
                  </w:pPr>
                  <w:r w:rsidRPr="447A8466">
                    <w:rPr>
                      <w:sz w:val="20"/>
                    </w:rPr>
                    <w:t>56%</w:t>
                  </w:r>
                </w:p>
              </w:tc>
            </w:tr>
            <w:tr w:rsidR="447A8466" w14:paraId="19675805" w14:textId="77777777" w:rsidTr="447A8466">
              <w:tc>
                <w:tcPr>
                  <w:tcW w:w="885" w:type="dxa"/>
                </w:tcPr>
                <w:p w14:paraId="3BAC6E30" w14:textId="7720A1A5" w:rsidR="0B39B34D" w:rsidRDefault="0B39B34D" w:rsidP="447A8466">
                  <w:pPr>
                    <w:pStyle w:val="TableRowCentered"/>
                    <w:rPr>
                      <w:sz w:val="20"/>
                    </w:rPr>
                  </w:pPr>
                  <w:r w:rsidRPr="447A8466">
                    <w:rPr>
                      <w:sz w:val="20"/>
                    </w:rPr>
                    <w:t>6</w:t>
                  </w:r>
                </w:p>
              </w:tc>
              <w:tc>
                <w:tcPr>
                  <w:tcW w:w="1365" w:type="dxa"/>
                </w:tcPr>
                <w:p w14:paraId="2D8013AC" w14:textId="7E39D40C" w:rsidR="660891A0" w:rsidRDefault="660891A0" w:rsidP="447A8466">
                  <w:pPr>
                    <w:pStyle w:val="TableRowCentered"/>
                    <w:rPr>
                      <w:sz w:val="20"/>
                    </w:rPr>
                  </w:pPr>
                  <w:r w:rsidRPr="447A8466">
                    <w:rPr>
                      <w:sz w:val="20"/>
                    </w:rPr>
                    <w:t>62%</w:t>
                  </w:r>
                </w:p>
              </w:tc>
              <w:tc>
                <w:tcPr>
                  <w:tcW w:w="1440" w:type="dxa"/>
                </w:tcPr>
                <w:p w14:paraId="41D857B0" w14:textId="05B90B6A" w:rsidR="42F1A5C6" w:rsidRDefault="42F1A5C6" w:rsidP="447A8466">
                  <w:pPr>
                    <w:pStyle w:val="TableRowCentered"/>
                    <w:rPr>
                      <w:sz w:val="20"/>
                    </w:rPr>
                  </w:pPr>
                  <w:r w:rsidRPr="447A8466">
                    <w:rPr>
                      <w:sz w:val="20"/>
                    </w:rPr>
                    <w:t>62%</w:t>
                  </w:r>
                </w:p>
              </w:tc>
              <w:tc>
                <w:tcPr>
                  <w:tcW w:w="1560" w:type="dxa"/>
                </w:tcPr>
                <w:p w14:paraId="3CDDFDA1" w14:textId="7FA5DDB5" w:rsidR="43831A79" w:rsidRDefault="43831A79" w:rsidP="447A8466">
                  <w:pPr>
                    <w:pStyle w:val="TableRowCentered"/>
                    <w:rPr>
                      <w:sz w:val="20"/>
                    </w:rPr>
                  </w:pPr>
                  <w:r w:rsidRPr="447A8466">
                    <w:rPr>
                      <w:sz w:val="20"/>
                    </w:rPr>
                    <w:t>62%</w:t>
                  </w:r>
                </w:p>
              </w:tc>
            </w:tr>
          </w:tbl>
          <w:p w14:paraId="1C92D076" w14:textId="7D678EF4" w:rsidR="0041070E" w:rsidRDefault="0041070E">
            <w:pPr>
              <w:pStyle w:val="TableRowCentered"/>
              <w:jc w:val="left"/>
            </w:pPr>
          </w:p>
        </w:tc>
      </w:tr>
      <w:tr w:rsidR="447A8466" w14:paraId="1313A7AE" w14:textId="77777777" w:rsidTr="70A5E36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CD5E4" w14:textId="5449E9B1" w:rsidR="213EBEC7" w:rsidRDefault="213EBEC7" w:rsidP="447A8466">
            <w:pPr>
              <w:pStyle w:val="TableRow"/>
              <w:rPr>
                <w:sz w:val="22"/>
                <w:szCs w:val="22"/>
              </w:rPr>
            </w:pPr>
            <w:r w:rsidRPr="447A8466">
              <w:rPr>
                <w:sz w:val="22"/>
                <w:szCs w:val="22"/>
              </w:rPr>
              <w:lastRenderedPageBreak/>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3EA4F8" w14:textId="37D15CB5" w:rsidR="4361C549" w:rsidRDefault="4361C549" w:rsidP="447A8466">
            <w:pPr>
              <w:pStyle w:val="TableRowCentered"/>
              <w:jc w:val="left"/>
            </w:pPr>
            <w:r>
              <w:t>The proportion of our disadvantaged children passing the Year 1 Phonics Screening is below that of national and of their non-disadvantaged peers</w:t>
            </w:r>
          </w:p>
        </w:tc>
      </w:tr>
      <w:tr w:rsidR="00E66558" w14:paraId="2A7D54F5" w14:textId="77777777" w:rsidTr="70A5E36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BC80562" w:rsidR="00E66558" w:rsidRDefault="213EBEC7" w:rsidP="447A8466">
            <w:pPr>
              <w:pStyle w:val="TableRow"/>
              <w:spacing w:line="259" w:lineRule="auto"/>
              <w:rPr>
                <w:sz w:val="22"/>
                <w:szCs w:val="22"/>
              </w:rPr>
            </w:pPr>
            <w:r w:rsidRPr="447A8466">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4AFAA86B" w:rsidR="00E66558" w:rsidRDefault="006B3D8F">
            <w:pPr>
              <w:pStyle w:val="TableRowCentered"/>
              <w:jc w:val="left"/>
              <w:rPr>
                <w:sz w:val="22"/>
                <w:szCs w:val="22"/>
              </w:rPr>
            </w:pPr>
            <w:r>
              <w:t>A significant number of our disadvantaged children also have recognised special educational needs or first concerns raised re possible special educational needs and this impacts on their overall attainment and progress.</w:t>
            </w:r>
          </w:p>
        </w:tc>
      </w:tr>
      <w:tr w:rsidR="00E66558" w14:paraId="2A7D54F8" w14:textId="77777777" w:rsidTr="70A5E36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C79DFD2" w:rsidR="00E66558" w:rsidRDefault="68AC189E" w:rsidP="447A8466">
            <w:pPr>
              <w:pStyle w:val="TableRow"/>
              <w:spacing w:line="259" w:lineRule="auto"/>
            </w:pPr>
            <w:r w:rsidRPr="447A8466">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0C71E063" w:rsidR="00E66558" w:rsidRDefault="0041070E">
            <w:pPr>
              <w:pStyle w:val="TableRowCentered"/>
              <w:jc w:val="left"/>
              <w:rPr>
                <w:sz w:val="22"/>
                <w:szCs w:val="22"/>
              </w:rPr>
            </w:pPr>
            <w:r>
              <w:t>Effects of early childhood trauma, attachment needs and emotional needs on overall attainment and progress on a significant number of our disadvantaged pupils</w:t>
            </w:r>
          </w:p>
        </w:tc>
      </w:tr>
      <w:tr w:rsidR="00E66558" w14:paraId="2A7D54FB" w14:textId="77777777" w:rsidTr="70A5E36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19F74F3B" w:rsidR="00E66558" w:rsidRDefault="12CD588D" w:rsidP="447A8466">
            <w:pPr>
              <w:pStyle w:val="TableRow"/>
              <w:spacing w:line="259" w:lineRule="auto"/>
            </w:pPr>
            <w:r w:rsidRPr="447A8466">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6394A4BC" w:rsidR="00E66558" w:rsidRDefault="1D34B008" w:rsidP="447A8466">
            <w:pPr>
              <w:pStyle w:val="TableRowCentered"/>
              <w:jc w:val="left"/>
            </w:pPr>
            <w:r>
              <w:t>All children’s social and emotional wellbeing has been impacted by their experiences through the pandemic and as such many of our disadvantaged children now require increased levels of support to develop strong attitudes to learning, their self-esteem and engagement in learning.</w:t>
            </w:r>
            <w:r w:rsidR="23B14E6C">
              <w:t xml:space="preserve"> </w:t>
            </w:r>
            <w:r w:rsidR="62FD6FCA">
              <w:t xml:space="preserve">Many of our disadvantaged children have experienced trauma or display attachment difficulties. </w:t>
            </w:r>
            <w:r w:rsidR="23B14E6C">
              <w:t>Many disadvantaged children lack enrichment opportunities</w:t>
            </w:r>
          </w:p>
        </w:tc>
      </w:tr>
      <w:tr w:rsidR="00E66558" w14:paraId="2A7D54FE" w14:textId="77777777" w:rsidTr="70A5E36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0112A15C" w:rsidR="00E66558" w:rsidRDefault="04F3E5B7" w:rsidP="447A8466">
            <w:pPr>
              <w:pStyle w:val="TableRow"/>
              <w:spacing w:line="259" w:lineRule="auto"/>
            </w:pPr>
            <w:r w:rsidRPr="447A8466">
              <w:rPr>
                <w:sz w:val="22"/>
                <w:szCs w:val="22"/>
              </w:rPr>
              <w:t>7</w:t>
            </w:r>
            <w:bookmarkStart w:id="16" w:name="_Toc443397160"/>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7942BB0D" w:rsidR="0041070E" w:rsidRDefault="0F6857DC" w:rsidP="70A5E365">
            <w:pPr>
              <w:pStyle w:val="TableRowCentered"/>
              <w:jc w:val="left"/>
              <w:rPr>
                <w:sz w:val="22"/>
                <w:szCs w:val="22"/>
              </w:rPr>
            </w:pPr>
            <w:r w:rsidRPr="70A5E365">
              <w:rPr>
                <w:sz w:val="22"/>
                <w:szCs w:val="22"/>
              </w:rPr>
              <w:t xml:space="preserve">Attendance of our disadvantaged children is below that of their non-disadvantaged peers. In 2021-2022, attendance for disadvantaged children was 93.22% compared with 96.64% for non-disadvantaged children.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447A846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447A846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103F0BC7" w:rsidR="00E66558" w:rsidRDefault="462E37B7" w:rsidP="447A8466">
            <w:pPr>
              <w:pStyle w:val="TableRow"/>
              <w:spacing w:line="259" w:lineRule="auto"/>
              <w:rPr>
                <w:sz w:val="22"/>
                <w:szCs w:val="22"/>
              </w:rPr>
            </w:pPr>
            <w:r w:rsidRPr="447A8466">
              <w:rPr>
                <w:sz w:val="22"/>
                <w:szCs w:val="22"/>
              </w:rPr>
              <w:t xml:space="preserve">Increased proportion of disadvantaged children In EYFS to attain Early Learning Goals in reading, writing and maths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73E2639C" w:rsidR="00E66558" w:rsidRDefault="0C42EB61" w:rsidP="447A8466">
            <w:pPr>
              <w:pStyle w:val="TableRowCentered"/>
              <w:spacing w:line="259" w:lineRule="auto"/>
              <w:jc w:val="left"/>
              <w:rPr>
                <w:sz w:val="22"/>
                <w:szCs w:val="22"/>
              </w:rPr>
            </w:pPr>
            <w:r w:rsidRPr="447A8466">
              <w:rPr>
                <w:sz w:val="22"/>
                <w:szCs w:val="22"/>
              </w:rPr>
              <w:t>Attainment of children in reading, writing and maths will be closer to that of their non-disadvantaged peers</w:t>
            </w:r>
            <w:r w:rsidR="293D749B" w:rsidRPr="447A8466">
              <w:rPr>
                <w:sz w:val="22"/>
                <w:szCs w:val="22"/>
              </w:rPr>
              <w:t xml:space="preserve">. This will be measured using external data for EYFS and monitored termly via internal tracking.  </w:t>
            </w:r>
          </w:p>
        </w:tc>
      </w:tr>
      <w:tr w:rsidR="00E66558" w14:paraId="2A7D5509" w14:textId="77777777" w:rsidTr="447A846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78FFA93C" w:rsidR="00E66558" w:rsidRDefault="462E37B7">
            <w:pPr>
              <w:pStyle w:val="TableRow"/>
              <w:rPr>
                <w:sz w:val="22"/>
                <w:szCs w:val="22"/>
              </w:rPr>
            </w:pPr>
            <w:r w:rsidRPr="447A8466">
              <w:rPr>
                <w:sz w:val="22"/>
                <w:szCs w:val="22"/>
              </w:rPr>
              <w:t>Increased proportion of disadvantaged children to be working at the expected standard in all year groups in reading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7B2B09A5" w:rsidR="00E66558" w:rsidRDefault="4D9E062F" w:rsidP="447A8466">
            <w:pPr>
              <w:pStyle w:val="TableRowCentered"/>
              <w:spacing w:line="259" w:lineRule="auto"/>
              <w:jc w:val="left"/>
              <w:rPr>
                <w:sz w:val="22"/>
                <w:szCs w:val="22"/>
              </w:rPr>
            </w:pPr>
            <w:r w:rsidRPr="447A8466">
              <w:rPr>
                <w:sz w:val="22"/>
                <w:szCs w:val="22"/>
              </w:rPr>
              <w:t>Attainment of children in reading</w:t>
            </w:r>
            <w:r w:rsidR="0BC5BB28" w:rsidRPr="447A8466">
              <w:rPr>
                <w:sz w:val="22"/>
                <w:szCs w:val="22"/>
              </w:rPr>
              <w:t xml:space="preserve"> </w:t>
            </w:r>
            <w:r w:rsidRPr="447A8466">
              <w:rPr>
                <w:sz w:val="22"/>
                <w:szCs w:val="22"/>
              </w:rPr>
              <w:t>will be closer to that of their non-disadvantaged peers</w:t>
            </w:r>
            <w:r w:rsidR="57221947" w:rsidRPr="447A8466">
              <w:rPr>
                <w:sz w:val="22"/>
                <w:szCs w:val="22"/>
              </w:rPr>
              <w:t xml:space="preserve">. </w:t>
            </w:r>
            <w:r w:rsidR="2121DC80" w:rsidRPr="447A8466">
              <w:rPr>
                <w:sz w:val="22"/>
                <w:szCs w:val="22"/>
              </w:rPr>
              <w:t xml:space="preserve">This will be measured and monitored </w:t>
            </w:r>
            <w:r w:rsidR="2121DC80" w:rsidRPr="447A8466">
              <w:rPr>
                <w:sz w:val="22"/>
                <w:szCs w:val="22"/>
              </w:rPr>
              <w:lastRenderedPageBreak/>
              <w:t>termly</w:t>
            </w:r>
            <w:r w:rsidR="40E58674" w:rsidRPr="447A8466">
              <w:rPr>
                <w:sz w:val="22"/>
                <w:szCs w:val="22"/>
              </w:rPr>
              <w:t xml:space="preserve">. Progress for children with SEND will be monitored via their SEND profile </w:t>
            </w:r>
          </w:p>
        </w:tc>
      </w:tr>
      <w:tr w:rsidR="00E66558" w14:paraId="2A7D550C" w14:textId="77777777" w:rsidTr="447A846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4BC3" w14:textId="417B26F2" w:rsidR="00E66558" w:rsidRDefault="40E58674" w:rsidP="447A8466">
            <w:pPr>
              <w:pStyle w:val="TableRow"/>
              <w:rPr>
                <w:sz w:val="22"/>
                <w:szCs w:val="22"/>
              </w:rPr>
            </w:pPr>
            <w:r w:rsidRPr="447A8466">
              <w:rPr>
                <w:sz w:val="22"/>
                <w:szCs w:val="22"/>
              </w:rPr>
              <w:lastRenderedPageBreak/>
              <w:t>Increased proportion of disadvantaged children to be working at the expected standard in all year groups in writing</w:t>
            </w:r>
          </w:p>
          <w:p w14:paraId="2A7D550A" w14:textId="6DA2A1D0" w:rsidR="00E66558" w:rsidRDefault="00E66558">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D16158" w14:textId="44B65B13" w:rsidR="00E66558" w:rsidRDefault="40E58674" w:rsidP="447A8466">
            <w:pPr>
              <w:pStyle w:val="TableRowCentered"/>
              <w:spacing w:line="259" w:lineRule="auto"/>
              <w:jc w:val="left"/>
              <w:rPr>
                <w:sz w:val="22"/>
                <w:szCs w:val="22"/>
              </w:rPr>
            </w:pPr>
            <w:r w:rsidRPr="447A8466">
              <w:rPr>
                <w:sz w:val="22"/>
                <w:szCs w:val="22"/>
              </w:rPr>
              <w:t>Attainment of children in writing will be closer to that of their non-disadvantaged peers. This will be measured and monitored termly. Progress for children with SEND will be monitored via their SEND profile</w:t>
            </w:r>
          </w:p>
          <w:p w14:paraId="2A7D550B" w14:textId="5C3545DC" w:rsidR="00E66558" w:rsidRDefault="00E66558">
            <w:pPr>
              <w:pStyle w:val="TableRowCentered"/>
              <w:jc w:val="left"/>
              <w:rPr>
                <w:sz w:val="22"/>
                <w:szCs w:val="22"/>
              </w:rPr>
            </w:pPr>
          </w:p>
        </w:tc>
      </w:tr>
      <w:tr w:rsidR="00E66558" w14:paraId="2A7D550F" w14:textId="77777777" w:rsidTr="447A846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DBA20" w14:textId="06BB3400" w:rsidR="00E66558" w:rsidRDefault="40E58674" w:rsidP="447A8466">
            <w:pPr>
              <w:pStyle w:val="TableRow"/>
              <w:rPr>
                <w:sz w:val="22"/>
                <w:szCs w:val="22"/>
              </w:rPr>
            </w:pPr>
            <w:r w:rsidRPr="447A8466">
              <w:rPr>
                <w:color w:val="0D0D0D" w:themeColor="text1" w:themeTint="F2"/>
                <w:sz w:val="22"/>
                <w:szCs w:val="22"/>
              </w:rPr>
              <w:t xml:space="preserve">Increased proportion of disadvantaged children to be working at the expected standard in all year groups in maths </w:t>
            </w:r>
          </w:p>
          <w:p w14:paraId="2A7D550D" w14:textId="73573E6A" w:rsidR="00E66558" w:rsidRDefault="00E66558" w:rsidP="447A8466">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625AE" w14:textId="1CFEA445" w:rsidR="00E66558" w:rsidRDefault="40E58674" w:rsidP="447A8466">
            <w:pPr>
              <w:pStyle w:val="TableRowCentered"/>
              <w:spacing w:line="259" w:lineRule="auto"/>
              <w:jc w:val="left"/>
              <w:rPr>
                <w:sz w:val="22"/>
                <w:szCs w:val="22"/>
              </w:rPr>
            </w:pPr>
            <w:r w:rsidRPr="447A8466">
              <w:rPr>
                <w:sz w:val="22"/>
                <w:szCs w:val="22"/>
              </w:rPr>
              <w:t>Attainment of children in maths will be closer to that of their non-disadvantaged peers. This will be measured and monitored termly. Progress for children with SEND will be monitored via their SEND profile</w:t>
            </w:r>
          </w:p>
          <w:p w14:paraId="2A7D550E" w14:textId="43117A80" w:rsidR="00E66558" w:rsidRDefault="00E66558">
            <w:pPr>
              <w:pStyle w:val="TableRowCentered"/>
              <w:jc w:val="left"/>
              <w:rPr>
                <w:sz w:val="22"/>
                <w:szCs w:val="22"/>
              </w:rPr>
            </w:pPr>
          </w:p>
        </w:tc>
      </w:tr>
      <w:tr w:rsidR="447A8466" w14:paraId="3A9F8027" w14:textId="77777777" w:rsidTr="447A846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0B219C" w14:textId="4F77D26A" w:rsidR="40E58674" w:rsidRDefault="40E58674" w:rsidP="447A8466">
            <w:pPr>
              <w:pStyle w:val="TableRow"/>
              <w:rPr>
                <w:color w:val="0D0D0D" w:themeColor="text1" w:themeTint="F2"/>
                <w:sz w:val="22"/>
                <w:szCs w:val="22"/>
              </w:rPr>
            </w:pPr>
            <w:r w:rsidRPr="447A8466">
              <w:rPr>
                <w:color w:val="0D0D0D" w:themeColor="text1" w:themeTint="F2"/>
                <w:sz w:val="22"/>
                <w:szCs w:val="22"/>
              </w:rPr>
              <w:t>To achieve and sustain improved wellbeing for all pupils in our school, particularly our disadvantaged pupils</w:t>
            </w:r>
            <w:r w:rsidR="31D554A6" w:rsidRPr="447A8466">
              <w:rPr>
                <w:color w:val="0D0D0D" w:themeColor="text1" w:themeTint="F2"/>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AB0C02" w14:textId="79529AD0" w:rsidR="31D554A6" w:rsidRDefault="31D554A6" w:rsidP="447A8466">
            <w:pPr>
              <w:pStyle w:val="TableRowCentered"/>
              <w:jc w:val="left"/>
              <w:rPr>
                <w:sz w:val="22"/>
                <w:szCs w:val="22"/>
              </w:rPr>
            </w:pPr>
            <w:r w:rsidRPr="447A8466">
              <w:rPr>
                <w:sz w:val="22"/>
                <w:szCs w:val="22"/>
              </w:rPr>
              <w:t xml:space="preserve">Robust systems are in place to identify and support children who have experienced trauma and monitored through supervision process as well as through pupil voice and teacher observations. Support is given to raise self-esteem and support children in managing their emotions. </w:t>
            </w:r>
          </w:p>
          <w:p w14:paraId="002B8A32" w14:textId="642516B4" w:rsidR="40E58674" w:rsidRDefault="40E58674" w:rsidP="447A8466">
            <w:pPr>
              <w:pStyle w:val="TableRowCentered"/>
              <w:jc w:val="left"/>
              <w:rPr>
                <w:sz w:val="22"/>
                <w:szCs w:val="22"/>
              </w:rPr>
            </w:pPr>
            <w:r w:rsidRPr="447A8466">
              <w:rPr>
                <w:sz w:val="22"/>
                <w:szCs w:val="22"/>
              </w:rPr>
              <w:t xml:space="preserve">Sustained high levels of wellbeing from 2022-25 demonstrated by: </w:t>
            </w:r>
          </w:p>
          <w:p w14:paraId="2CBED223" w14:textId="68402B49" w:rsidR="40E58674" w:rsidRDefault="40E58674" w:rsidP="447A8466">
            <w:pPr>
              <w:pStyle w:val="TableRowCentered"/>
              <w:numPr>
                <w:ilvl w:val="0"/>
                <w:numId w:val="1"/>
              </w:numPr>
              <w:jc w:val="left"/>
              <w:rPr>
                <w:sz w:val="22"/>
                <w:szCs w:val="22"/>
              </w:rPr>
            </w:pPr>
            <w:r w:rsidRPr="447A8466">
              <w:rPr>
                <w:sz w:val="22"/>
                <w:szCs w:val="22"/>
              </w:rPr>
              <w:t xml:space="preserve">qualitative data from student voice, student and parent surveys and teacher observations. </w:t>
            </w:r>
          </w:p>
          <w:p w14:paraId="5014A562" w14:textId="7BA55A3B" w:rsidR="40E58674" w:rsidRDefault="40E58674" w:rsidP="447A8466">
            <w:pPr>
              <w:pStyle w:val="TableRowCentered"/>
              <w:numPr>
                <w:ilvl w:val="0"/>
                <w:numId w:val="1"/>
              </w:numPr>
              <w:jc w:val="left"/>
              <w:rPr>
                <w:sz w:val="22"/>
                <w:szCs w:val="22"/>
              </w:rPr>
            </w:pPr>
            <w:r w:rsidRPr="447A8466">
              <w:rPr>
                <w:sz w:val="22"/>
                <w:szCs w:val="22"/>
              </w:rPr>
              <w:t>an increase in participation in enrichment activities e.g. clubs, visits, particularly among disadvantaged pupils.</w:t>
            </w:r>
          </w:p>
        </w:tc>
      </w:tr>
      <w:tr w:rsidR="447A8466" w14:paraId="24DF53E3" w14:textId="77777777" w:rsidTr="447A846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C27E8" w14:textId="50F45296" w:rsidR="3D6EE0FA" w:rsidRDefault="3D6EE0FA" w:rsidP="447A8466">
            <w:pPr>
              <w:pStyle w:val="TableRow"/>
              <w:rPr>
                <w:sz w:val="22"/>
                <w:szCs w:val="22"/>
              </w:rPr>
            </w:pPr>
            <w:r w:rsidRPr="447A8466">
              <w:rPr>
                <w:sz w:val="22"/>
                <w:szCs w:val="22"/>
              </w:rPr>
              <w:t>Attendance for our disadvantaged children to be in line with national and non</w:t>
            </w:r>
            <w:r w:rsidR="5859969F" w:rsidRPr="447A8466">
              <w:rPr>
                <w:sz w:val="22"/>
                <w:szCs w:val="22"/>
              </w:rPr>
              <w:t>-</w:t>
            </w:r>
            <w:r w:rsidRPr="447A8466">
              <w:rPr>
                <w:sz w:val="22"/>
                <w:szCs w:val="22"/>
              </w:rPr>
              <w:t xml:space="preserve">disadvantaged peers in school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6ADCF" w14:textId="752F687F" w:rsidR="3D6EE0FA" w:rsidRDefault="3D6EE0FA" w:rsidP="447A8466">
            <w:pPr>
              <w:pStyle w:val="TableRowCentered"/>
              <w:jc w:val="left"/>
              <w:rPr>
                <w:sz w:val="22"/>
                <w:szCs w:val="22"/>
              </w:rPr>
            </w:pPr>
            <w:r w:rsidRPr="447A8466">
              <w:rPr>
                <w:sz w:val="22"/>
                <w:szCs w:val="22"/>
              </w:rPr>
              <w:t xml:space="preserve">Individual disadvantaged pupils having an attendance of 96% or above </w:t>
            </w:r>
          </w:p>
          <w:p w14:paraId="31F325D2" w14:textId="04382CC3" w:rsidR="3D6EE0FA" w:rsidRDefault="3D6EE0FA" w:rsidP="447A8466">
            <w:pPr>
              <w:pStyle w:val="TableRowCentered"/>
              <w:jc w:val="left"/>
              <w:rPr>
                <w:sz w:val="22"/>
                <w:szCs w:val="22"/>
              </w:rPr>
            </w:pPr>
            <w:r w:rsidRPr="447A8466">
              <w:rPr>
                <w:sz w:val="22"/>
                <w:szCs w:val="22"/>
              </w:rPr>
              <w:t>Lateness for disadvantaged pupils minimised through effective tracking and parental engagement.</w:t>
            </w:r>
          </w:p>
          <w:p w14:paraId="21FD4724" w14:textId="2018800A" w:rsidR="5D6D9D9B" w:rsidRDefault="5D6D9D9B" w:rsidP="447A8466">
            <w:pPr>
              <w:pStyle w:val="TableRowCentered"/>
              <w:jc w:val="left"/>
              <w:rPr>
                <w:sz w:val="22"/>
                <w:szCs w:val="22"/>
              </w:rPr>
            </w:pPr>
            <w:r w:rsidRPr="447A8466">
              <w:rPr>
                <w:sz w:val="22"/>
                <w:szCs w:val="22"/>
              </w:rPr>
              <w:t xml:space="preserve">This will be tracked via school absence reporting procedures. </w:t>
            </w:r>
          </w:p>
        </w:tc>
      </w:tr>
      <w:tr w:rsidR="447A8466" w14:paraId="28C1FE54" w14:textId="77777777" w:rsidTr="447A846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E088E" w14:textId="739B9314" w:rsidR="48AF4869" w:rsidRDefault="48AF4869" w:rsidP="447A8466">
            <w:pPr>
              <w:pStyle w:val="TableRow"/>
              <w:rPr>
                <w:sz w:val="22"/>
                <w:szCs w:val="22"/>
              </w:rPr>
            </w:pPr>
            <w:r w:rsidRPr="447A8466">
              <w:rPr>
                <w:sz w:val="22"/>
                <w:szCs w:val="22"/>
              </w:rPr>
              <w:t xml:space="preserve">Children identified as having SEND to fulfil their </w:t>
            </w:r>
            <w:r w:rsidR="1DF1F435" w:rsidRPr="447A8466">
              <w:rPr>
                <w:sz w:val="22"/>
                <w:szCs w:val="22"/>
              </w:rPr>
              <w:t>potential through accessing appropriate specialist support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1D15ED" w14:textId="1D54940F" w:rsidR="1DF1F435" w:rsidRDefault="1DF1F435" w:rsidP="447A8466">
            <w:pPr>
              <w:pStyle w:val="TableRowCentered"/>
              <w:jc w:val="left"/>
              <w:rPr>
                <w:sz w:val="22"/>
                <w:szCs w:val="22"/>
              </w:rPr>
            </w:pPr>
            <w:r w:rsidRPr="447A8466">
              <w:rPr>
                <w:sz w:val="22"/>
                <w:szCs w:val="22"/>
              </w:rPr>
              <w:t xml:space="preserve">Children with Speech and Language difficulties or with dyslexic traits to access specialist support and achieve their targets </w:t>
            </w:r>
            <w:r w:rsidR="5C26E4CE" w:rsidRPr="447A8466">
              <w:rPr>
                <w:sz w:val="22"/>
                <w:szCs w:val="22"/>
              </w:rPr>
              <w:t xml:space="preserve">as demonstrated on their pupil profiles. </w:t>
            </w:r>
          </w:p>
        </w:tc>
      </w:tr>
    </w:tbl>
    <w:p w14:paraId="60BAD9F6" w14:textId="77777777" w:rsidR="00120AB1" w:rsidRDefault="00120AB1" w:rsidP="00ED5108"/>
    <w:p w14:paraId="2A7D5512" w14:textId="58058056" w:rsidR="00E66558" w:rsidRDefault="383BEB0A">
      <w:pPr>
        <w:pStyle w:val="Heading2"/>
      </w:pPr>
      <w:r>
        <w:t>A</w:t>
      </w:r>
      <w:r w:rsidR="009D71E8">
        <w:t>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74199D64" w:rsidR="00E66558" w:rsidRDefault="009D71E8">
      <w:r>
        <w:t xml:space="preserve">Budgeted cost: </w:t>
      </w:r>
      <w:r w:rsidRPr="00833315">
        <w:t>£</w:t>
      </w:r>
      <w:r w:rsidR="00833315" w:rsidRPr="00833315">
        <w:rPr>
          <w:iCs/>
        </w:rPr>
        <w:t>18, 267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A64DB"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44F6AB8" w:rsidR="000A64DB" w:rsidRDefault="000A64DB" w:rsidP="000A64DB">
            <w:pPr>
              <w:pStyle w:val="TableRow"/>
            </w:pPr>
            <w:r>
              <w:rPr>
                <w:rStyle w:val="normaltextrun"/>
                <w:rFonts w:cs="Arial"/>
                <w:color w:val="000000"/>
              </w:rPr>
              <w:t>Embedding Little Wandle phonics to</w:t>
            </w:r>
            <w:r>
              <w:rPr>
                <w:rStyle w:val="normaltextrun"/>
                <w:rFonts w:cs="Arial"/>
              </w:rPr>
              <w:t xml:space="preserve"> secure stronger phonics teaching for all pupils.</w:t>
            </w:r>
            <w:r>
              <w:rPr>
                <w:rStyle w:val="eop"/>
                <w:rFonts w:cs="Arial"/>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DE9AA" w14:textId="77777777" w:rsidR="000A64DB" w:rsidRDefault="000A64DB" w:rsidP="000A64DB">
            <w:pPr>
              <w:pStyle w:val="paragraph"/>
              <w:spacing w:before="0" w:beforeAutospacing="0" w:after="0" w:afterAutospacing="0"/>
              <w:ind w:left="45" w:right="45"/>
              <w:textAlignment w:val="baseline"/>
              <w:divId w:val="185216490"/>
              <w:rPr>
                <w:rFonts w:ascii="Segoe UI" w:hAnsi="Segoe UI" w:cs="Segoe UI"/>
                <w:color w:val="0D0D0D"/>
                <w:sz w:val="18"/>
                <w:szCs w:val="18"/>
              </w:rPr>
            </w:pPr>
            <w:r>
              <w:rPr>
                <w:rStyle w:val="normaltextrun"/>
                <w:rFonts w:ascii="Arial" w:hAnsi="Arial" w:cs="Arial"/>
                <w:color w:val="0D0D0D"/>
              </w:rPr>
              <w:t>Phonics approaches have a strong evidence base that indicates a positive impact on the accuracy of word reading (particularly for disadvantaged pupils): </w:t>
            </w:r>
            <w:r>
              <w:rPr>
                <w:rStyle w:val="eop"/>
                <w:rFonts w:cs="Arial"/>
                <w:color w:val="0D0D0D"/>
              </w:rPr>
              <w:t> </w:t>
            </w:r>
          </w:p>
          <w:p w14:paraId="51B9F560" w14:textId="77777777" w:rsidR="000A64DB" w:rsidRDefault="000A64DB" w:rsidP="000A64DB">
            <w:pPr>
              <w:pStyle w:val="paragraph"/>
              <w:spacing w:before="0" w:beforeAutospacing="0" w:after="0" w:afterAutospacing="0"/>
              <w:ind w:left="45" w:right="45"/>
              <w:textAlignment w:val="baseline"/>
              <w:divId w:val="1881622919"/>
              <w:rPr>
                <w:rFonts w:ascii="Segoe UI" w:hAnsi="Segoe UI" w:cs="Segoe UI"/>
                <w:color w:val="0D0D0D"/>
                <w:sz w:val="18"/>
                <w:szCs w:val="18"/>
              </w:rPr>
            </w:pPr>
            <w:r>
              <w:rPr>
                <w:rStyle w:val="normaltextrun"/>
                <w:rFonts w:ascii="Arial" w:hAnsi="Arial" w:cs="Arial"/>
                <w:color w:val="0D0D0D"/>
              </w:rPr>
              <w:t>Embedding Little Wandle involves</w:t>
            </w:r>
            <w:r>
              <w:rPr>
                <w:rStyle w:val="eop"/>
                <w:rFonts w:cs="Arial"/>
                <w:color w:val="0D0D0D"/>
              </w:rPr>
              <w:t> </w:t>
            </w:r>
          </w:p>
          <w:p w14:paraId="66073CD0" w14:textId="77777777" w:rsidR="000A64DB" w:rsidRDefault="000A64DB" w:rsidP="000A64DB">
            <w:pPr>
              <w:pStyle w:val="paragraph"/>
              <w:numPr>
                <w:ilvl w:val="0"/>
                <w:numId w:val="15"/>
              </w:numPr>
              <w:spacing w:before="0" w:beforeAutospacing="0" w:after="0" w:afterAutospacing="0"/>
              <w:ind w:left="360" w:firstLine="0"/>
              <w:textAlignment w:val="baseline"/>
              <w:divId w:val="783689679"/>
              <w:rPr>
                <w:rFonts w:ascii="Arial" w:hAnsi="Arial" w:cs="Arial"/>
                <w:color w:val="0D0D0D"/>
              </w:rPr>
            </w:pPr>
            <w:r>
              <w:rPr>
                <w:rStyle w:val="normaltextrun"/>
                <w:rFonts w:ascii="Arial" w:hAnsi="Arial" w:cs="Arial"/>
                <w:color w:val="0D0D0D"/>
              </w:rPr>
              <w:t>Using a systematic approach that explicitly teaches pupils a comprehensive set of letter-sound relationships through an organised sequence </w:t>
            </w:r>
            <w:r>
              <w:rPr>
                <w:rStyle w:val="eop"/>
                <w:rFonts w:cs="Arial"/>
                <w:color w:val="0D0D0D"/>
              </w:rPr>
              <w:t> </w:t>
            </w:r>
          </w:p>
          <w:p w14:paraId="3EB4E8B4" w14:textId="77777777" w:rsidR="000A64DB" w:rsidRDefault="000A64DB" w:rsidP="000A64DB">
            <w:pPr>
              <w:pStyle w:val="paragraph"/>
              <w:numPr>
                <w:ilvl w:val="0"/>
                <w:numId w:val="15"/>
              </w:numPr>
              <w:spacing w:before="0" w:beforeAutospacing="0" w:after="0" w:afterAutospacing="0"/>
              <w:ind w:left="360" w:firstLine="0"/>
              <w:textAlignment w:val="baseline"/>
              <w:divId w:val="783689679"/>
              <w:rPr>
                <w:rFonts w:ascii="Arial" w:hAnsi="Arial" w:cs="Arial"/>
                <w:color w:val="0D0D0D"/>
              </w:rPr>
            </w:pPr>
            <w:r>
              <w:rPr>
                <w:rStyle w:val="normaltextrun"/>
                <w:rFonts w:ascii="Arial" w:hAnsi="Arial" w:cs="Arial"/>
                <w:color w:val="0D0D0D"/>
              </w:rPr>
              <w:t>Carefully monitoring progress to ensure that phonics programmes are responsive and provide extra support where necessary </w:t>
            </w:r>
            <w:r>
              <w:rPr>
                <w:rStyle w:val="eop"/>
                <w:rFonts w:cs="Arial"/>
                <w:color w:val="0D0D0D"/>
              </w:rPr>
              <w:t> </w:t>
            </w:r>
          </w:p>
          <w:p w14:paraId="3D5025DF" w14:textId="77777777" w:rsidR="000A64DB" w:rsidRDefault="000A64DB" w:rsidP="000A64DB">
            <w:pPr>
              <w:pStyle w:val="paragraph"/>
              <w:numPr>
                <w:ilvl w:val="0"/>
                <w:numId w:val="15"/>
              </w:numPr>
              <w:spacing w:before="0" w:beforeAutospacing="0" w:after="0" w:afterAutospacing="0"/>
              <w:ind w:left="360" w:firstLine="0"/>
              <w:textAlignment w:val="baseline"/>
              <w:divId w:val="783689679"/>
              <w:rPr>
                <w:rFonts w:ascii="Arial" w:hAnsi="Arial" w:cs="Arial"/>
                <w:color w:val="0D0D0D"/>
              </w:rPr>
            </w:pPr>
            <w:r>
              <w:rPr>
                <w:rStyle w:val="normaltextrun"/>
                <w:rFonts w:ascii="Arial" w:hAnsi="Arial" w:cs="Arial"/>
                <w:color w:val="0D0D0D"/>
              </w:rPr>
              <w:t>Carefully consider any adaptions to systematic programmes that might reduce impact.</w:t>
            </w:r>
            <w:r>
              <w:rPr>
                <w:rStyle w:val="eop"/>
                <w:rFonts w:cs="Arial"/>
                <w:color w:val="0D0D0D"/>
              </w:rPr>
              <w:t> </w:t>
            </w:r>
          </w:p>
          <w:p w14:paraId="2A7D551B" w14:textId="46C9A5BE" w:rsidR="000A64DB" w:rsidRDefault="00D30E86" w:rsidP="000A64DB">
            <w:pPr>
              <w:pStyle w:val="TableRowCentered"/>
              <w:jc w:val="left"/>
              <w:rPr>
                <w:sz w:val="22"/>
              </w:rPr>
            </w:pPr>
            <w:hyperlink r:id="rId10" w:tgtFrame="_blank" w:history="1">
              <w:r w:rsidR="000A64DB">
                <w:rPr>
                  <w:rStyle w:val="normaltextrun"/>
                  <w:rFonts w:cs="Arial"/>
                  <w:color w:val="0000FF"/>
                  <w:u w:val="single"/>
                </w:rPr>
                <w:t>Phonics</w:t>
              </w:r>
            </w:hyperlink>
            <w:r w:rsidR="000A64DB">
              <w:rPr>
                <w:rStyle w:val="eop"/>
                <w:rFonts w:cs="Arial"/>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0E839AC" w:rsidR="000A64DB" w:rsidRDefault="000A64DB" w:rsidP="000A64DB">
            <w:pPr>
              <w:pStyle w:val="TableRowCentered"/>
              <w:jc w:val="left"/>
              <w:rPr>
                <w:sz w:val="22"/>
              </w:rPr>
            </w:pPr>
            <w:r>
              <w:rPr>
                <w:rStyle w:val="normaltextrun"/>
                <w:rFonts w:cs="Arial"/>
                <w:sz w:val="22"/>
                <w:szCs w:val="22"/>
              </w:rPr>
              <w:t>1, 2, 3</w:t>
            </w:r>
            <w:r>
              <w:rPr>
                <w:rStyle w:val="eop"/>
                <w:rFonts w:cs="Arial"/>
                <w:sz w:val="22"/>
                <w:szCs w:val="22"/>
              </w:rPr>
              <w:t> </w:t>
            </w:r>
          </w:p>
        </w:tc>
      </w:tr>
      <w:tr w:rsidR="000A64DB"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D054DA1" w:rsidR="000A64DB" w:rsidRDefault="000A64DB" w:rsidP="000A64DB">
            <w:pPr>
              <w:pStyle w:val="TableRow"/>
              <w:rPr>
                <w:i/>
                <w:sz w:val="22"/>
              </w:rPr>
            </w:pPr>
            <w:r>
              <w:rPr>
                <w:rStyle w:val="normaltextrun"/>
                <w:rFonts w:cs="Arial"/>
              </w:rPr>
              <w:t>Develop whole staff understanding of the needs of pupils with needs relating to Attachment and Developmental Trauma</w:t>
            </w:r>
            <w:r>
              <w:rPr>
                <w:rStyle w:val="eop"/>
                <w:rFonts w:cs="Arial"/>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F1AD" w14:textId="77777777" w:rsidR="000A64DB" w:rsidRDefault="000A64DB" w:rsidP="000A64DB">
            <w:pPr>
              <w:pStyle w:val="paragraph"/>
              <w:spacing w:before="0" w:beforeAutospacing="0" w:after="0" w:afterAutospacing="0"/>
              <w:ind w:left="45" w:right="45"/>
              <w:textAlignment w:val="baseline"/>
              <w:divId w:val="1344823864"/>
              <w:rPr>
                <w:rFonts w:ascii="Segoe UI" w:hAnsi="Segoe UI" w:cs="Segoe UI"/>
                <w:color w:val="0D0D0D"/>
                <w:sz w:val="18"/>
                <w:szCs w:val="18"/>
              </w:rPr>
            </w:pPr>
            <w:r>
              <w:rPr>
                <w:rStyle w:val="normaltextrun"/>
                <w:rFonts w:ascii="Arial" w:hAnsi="Arial" w:cs="Arial"/>
                <w:color w:val="0D0D0D"/>
              </w:rPr>
              <w:t>In order to feel ready to learn, children need to feel safe and have positive attachments with people. All staff to be trained in attachment theory and how to support all children affected </w:t>
            </w:r>
            <w:r>
              <w:rPr>
                <w:rStyle w:val="eop"/>
                <w:rFonts w:cs="Arial"/>
                <w:color w:val="0D0D0D"/>
              </w:rPr>
              <w:t> </w:t>
            </w:r>
          </w:p>
          <w:p w14:paraId="2A7D551F" w14:textId="4A677208" w:rsidR="000A64DB" w:rsidRDefault="00D30E86" w:rsidP="000A64DB">
            <w:pPr>
              <w:pStyle w:val="TableRowCentered"/>
              <w:jc w:val="left"/>
              <w:rPr>
                <w:sz w:val="22"/>
              </w:rPr>
            </w:pPr>
            <w:hyperlink r:id="rId11" w:tgtFrame="_blank" w:history="1">
              <w:r w:rsidR="000A64DB">
                <w:rPr>
                  <w:rStyle w:val="normaltextrun"/>
                  <w:rFonts w:cs="Arial"/>
                  <w:color w:val="0000FF"/>
                  <w:u w:val="single"/>
                </w:rPr>
                <w:t>Social and emotional learning</w:t>
              </w:r>
            </w:hyperlink>
            <w:r w:rsidR="000A64DB">
              <w:rPr>
                <w:rStyle w:val="eop"/>
                <w:rFonts w:cs="Arial"/>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D8E843B" w:rsidR="000A64DB" w:rsidRDefault="000A64DB" w:rsidP="000A64DB">
            <w:pPr>
              <w:pStyle w:val="TableRowCentered"/>
              <w:jc w:val="left"/>
              <w:rPr>
                <w:sz w:val="22"/>
              </w:rPr>
            </w:pPr>
            <w:r>
              <w:rPr>
                <w:rStyle w:val="normaltextrun"/>
                <w:rFonts w:cs="Arial"/>
                <w:sz w:val="22"/>
                <w:szCs w:val="22"/>
              </w:rPr>
              <w:t>5</w:t>
            </w:r>
            <w:r>
              <w:rPr>
                <w:rStyle w:val="eop"/>
                <w:rFonts w:cs="Arial"/>
                <w:sz w:val="22"/>
                <w:szCs w:val="22"/>
              </w:rPr>
              <w:t> </w:t>
            </w:r>
          </w:p>
        </w:tc>
      </w:tr>
      <w:tr w:rsidR="000A64DB" w14:paraId="2E5E2A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F2D3" w14:textId="26A1F3CC" w:rsidR="000A64DB" w:rsidRDefault="000A64DB" w:rsidP="000A64DB">
            <w:pPr>
              <w:pStyle w:val="TableRow"/>
              <w:rPr>
                <w:rStyle w:val="normaltextrun"/>
                <w:rFonts w:cs="Arial"/>
              </w:rPr>
            </w:pPr>
            <w:r>
              <w:rPr>
                <w:rStyle w:val="normaltextrun"/>
                <w:rFonts w:cs="Arial"/>
              </w:rPr>
              <w:t>Ongoing CPD to support a mastery approach to teaching mathematics</w:t>
            </w:r>
            <w:r>
              <w:rPr>
                <w:rStyle w:val="eop"/>
                <w:rFonts w:cs="Arial"/>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2A05E" w14:textId="77777777" w:rsidR="000A64DB" w:rsidRDefault="000A64DB" w:rsidP="000A64DB">
            <w:pPr>
              <w:pStyle w:val="paragraph"/>
              <w:spacing w:before="0" w:beforeAutospacing="0" w:after="0" w:afterAutospacing="0"/>
              <w:ind w:left="45" w:right="45"/>
              <w:textAlignment w:val="baseline"/>
              <w:divId w:val="1130318054"/>
              <w:rPr>
                <w:rFonts w:ascii="Segoe UI" w:hAnsi="Segoe UI" w:cs="Segoe UI"/>
                <w:color w:val="0D0D0D"/>
                <w:sz w:val="18"/>
                <w:szCs w:val="18"/>
              </w:rPr>
            </w:pPr>
            <w:r>
              <w:rPr>
                <w:rStyle w:val="normaltextrun"/>
                <w:rFonts w:ascii="Arial" w:hAnsi="Arial" w:cs="Arial"/>
                <w:color w:val="0D0D0D"/>
              </w:rPr>
              <w:t>Evidence shows that this method for teaching maths helps ensure more children achieve the objectives </w:t>
            </w:r>
            <w:r>
              <w:rPr>
                <w:rStyle w:val="eop"/>
                <w:rFonts w:cs="Arial"/>
                <w:color w:val="0D0D0D"/>
              </w:rPr>
              <w:t> </w:t>
            </w:r>
          </w:p>
          <w:p w14:paraId="2DAE390F" w14:textId="1B9F0606" w:rsidR="000A64DB" w:rsidRDefault="00D30E86" w:rsidP="000A64DB">
            <w:pPr>
              <w:pStyle w:val="paragraph"/>
              <w:spacing w:before="0" w:beforeAutospacing="0" w:after="0" w:afterAutospacing="0"/>
              <w:ind w:left="45" w:right="45"/>
              <w:textAlignment w:val="baseline"/>
              <w:divId w:val="1344823864"/>
              <w:rPr>
                <w:rStyle w:val="normaltextrun"/>
                <w:rFonts w:ascii="Arial" w:hAnsi="Arial" w:cs="Arial"/>
                <w:color w:val="0D0D0D"/>
              </w:rPr>
            </w:pPr>
            <w:hyperlink r:id="rId12" w:tgtFrame="_blank" w:history="1">
              <w:r w:rsidR="000A64DB">
                <w:rPr>
                  <w:rStyle w:val="normaltextrun"/>
                  <w:rFonts w:ascii="Arial" w:hAnsi="Arial" w:cs="Arial"/>
                  <w:color w:val="0000FF"/>
                  <w:u w:val="single"/>
                </w:rPr>
                <w:t>Mastery learning</w:t>
              </w:r>
            </w:hyperlink>
            <w:r w:rsidR="000A64DB">
              <w:rPr>
                <w:rStyle w:val="eop"/>
                <w:rFonts w:cs="Arial"/>
                <w:color w:val="0D0D0D"/>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B4F7" w14:textId="3EB6DFC8" w:rsidR="000A64DB" w:rsidRDefault="000A64DB" w:rsidP="000A64DB">
            <w:pPr>
              <w:pStyle w:val="TableRowCentered"/>
              <w:jc w:val="left"/>
              <w:rPr>
                <w:rStyle w:val="normaltextrun"/>
                <w:rFonts w:cs="Arial"/>
                <w:sz w:val="22"/>
                <w:szCs w:val="22"/>
              </w:rPr>
            </w:pPr>
            <w:r>
              <w:rPr>
                <w:rStyle w:val="normaltextrun"/>
                <w:rFonts w:cs="Arial"/>
                <w:sz w:val="22"/>
                <w:szCs w:val="22"/>
              </w:rPr>
              <w:t>1, 2, 3</w:t>
            </w:r>
            <w:r>
              <w:rPr>
                <w:rStyle w:val="eop"/>
                <w:rFonts w:cs="Arial"/>
                <w:sz w:val="22"/>
                <w:szCs w:val="22"/>
              </w:rPr>
              <w:t> </w:t>
            </w:r>
          </w:p>
        </w:tc>
      </w:tr>
    </w:tbl>
    <w:p w14:paraId="2A7D5522" w14:textId="77777777" w:rsidR="00E66558" w:rsidRDefault="00E66558" w:rsidP="00ED5108"/>
    <w:p w14:paraId="2A7D5523" w14:textId="0ACC703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r w:rsidR="000A64DB">
        <w:tab/>
      </w:r>
    </w:p>
    <w:p w14:paraId="2A7D5524" w14:textId="1DD38953" w:rsidR="00E66558" w:rsidRDefault="009D71E8">
      <w:r>
        <w:t>Budgeted cost: £</w:t>
      </w:r>
      <w:r w:rsidR="00833315">
        <w:t>55,439</w:t>
      </w:r>
      <w: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70A5E36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A64DB" w14:paraId="2A7D552C" w14:textId="77777777" w:rsidTr="70A5E36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6BF26E83" w:rsidR="000A64DB" w:rsidRDefault="000A64DB" w:rsidP="000A64DB">
            <w:pPr>
              <w:pStyle w:val="TableRow"/>
            </w:pPr>
            <w:r>
              <w:rPr>
                <w:rStyle w:val="normaltextrun"/>
                <w:rFonts w:cs="Arial"/>
                <w:sz w:val="22"/>
                <w:szCs w:val="22"/>
              </w:rPr>
              <w:lastRenderedPageBreak/>
              <w:t>Pre and post teach sessions with teachers / teaching assistants to support Mastery approach to learning </w:t>
            </w:r>
            <w:r>
              <w:rPr>
                <w:rStyle w:val="eop"/>
                <w:rFonts w:cs="Arial"/>
                <w:sz w:val="22"/>
                <w:szCs w:val="22"/>
              </w:rPr>
              <w:t>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C2A52" w14:textId="09004EBB" w:rsidR="000A64DB" w:rsidRDefault="000A64DB" w:rsidP="70A5E365">
            <w:pPr>
              <w:pStyle w:val="TableRowCentered"/>
              <w:jc w:val="left"/>
              <w:rPr>
                <w:rFonts w:cs="Arial"/>
                <w:sz w:val="22"/>
                <w:szCs w:val="22"/>
              </w:rPr>
            </w:pPr>
            <w:r w:rsidRPr="70A5E365">
              <w:rPr>
                <w:rStyle w:val="eop"/>
                <w:rFonts w:cs="Arial"/>
                <w:sz w:val="22"/>
                <w:szCs w:val="22"/>
              </w:rPr>
              <w:t> </w:t>
            </w:r>
            <w:hyperlink r:id="rId13">
              <w:r w:rsidR="68C1411F" w:rsidRPr="70A5E365">
                <w:rPr>
                  <w:rStyle w:val="Hyperlink"/>
                  <w:rFonts w:cs="Arial"/>
                  <w:sz w:val="22"/>
                  <w:szCs w:val="22"/>
                </w:rPr>
                <w:t>Small group interventions</w:t>
              </w:r>
            </w:hyperlink>
          </w:p>
          <w:p w14:paraId="6A1BCE6A" w14:textId="470DCF9B" w:rsidR="000A64DB" w:rsidRDefault="59C210DC" w:rsidP="70A5E365">
            <w:pPr>
              <w:pStyle w:val="TableRowCentered"/>
              <w:jc w:val="left"/>
              <w:rPr>
                <w:rFonts w:cs="Arial"/>
                <w:sz w:val="22"/>
                <w:szCs w:val="22"/>
              </w:rPr>
            </w:pPr>
            <w:r w:rsidRPr="70A5E365">
              <w:rPr>
                <w:rFonts w:cs="Arial"/>
                <w:sz w:val="22"/>
                <w:szCs w:val="22"/>
              </w:rPr>
              <w:t>Extending school day through early bird interventions before start of registration</w:t>
            </w:r>
          </w:p>
          <w:p w14:paraId="2A7D552A" w14:textId="143597A1" w:rsidR="000A64DB" w:rsidRDefault="00D30E86" w:rsidP="70A5E365">
            <w:pPr>
              <w:pStyle w:val="TableRowCentered"/>
              <w:jc w:val="left"/>
              <w:rPr>
                <w:rFonts w:cs="Arial"/>
                <w:sz w:val="22"/>
                <w:szCs w:val="22"/>
              </w:rPr>
            </w:pPr>
            <w:hyperlink r:id="rId14">
              <w:r w:rsidR="59C210DC" w:rsidRPr="70A5E365">
                <w:rPr>
                  <w:rStyle w:val="Hyperlink"/>
                  <w:rFonts w:cs="Arial"/>
                  <w:sz w:val="22"/>
                  <w:szCs w:val="22"/>
                </w:rPr>
                <w:t>Extending school day</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10280D6B" w:rsidR="000A64DB" w:rsidRDefault="000A64DB" w:rsidP="70A5E365">
            <w:pPr>
              <w:pStyle w:val="TableRowCentered"/>
              <w:jc w:val="left"/>
              <w:rPr>
                <w:sz w:val="22"/>
                <w:szCs w:val="22"/>
              </w:rPr>
            </w:pPr>
            <w:r w:rsidRPr="70A5E365">
              <w:rPr>
                <w:rStyle w:val="eop"/>
                <w:rFonts w:cs="Arial"/>
                <w:sz w:val="22"/>
                <w:szCs w:val="22"/>
              </w:rPr>
              <w:t> </w:t>
            </w:r>
            <w:r w:rsidR="3397097A" w:rsidRPr="70A5E365">
              <w:rPr>
                <w:rStyle w:val="eop"/>
                <w:rFonts w:cs="Arial"/>
                <w:sz w:val="22"/>
                <w:szCs w:val="22"/>
              </w:rPr>
              <w:t>1, 2, 3</w:t>
            </w:r>
          </w:p>
        </w:tc>
      </w:tr>
      <w:tr w:rsidR="000A64DB" w14:paraId="2A7D5530" w14:textId="77777777" w:rsidTr="70A5E36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3DD714F7" w:rsidR="000A64DB" w:rsidRDefault="000A64DB" w:rsidP="000A64DB">
            <w:pPr>
              <w:pStyle w:val="TableRow"/>
              <w:rPr>
                <w:i/>
                <w:sz w:val="22"/>
              </w:rPr>
            </w:pPr>
            <w:r>
              <w:rPr>
                <w:rStyle w:val="normaltextrun"/>
                <w:rFonts w:cs="Arial"/>
                <w:sz w:val="22"/>
                <w:szCs w:val="22"/>
              </w:rPr>
              <w:t>Small group interventions to target specific gaps in children’s learning </w:t>
            </w:r>
            <w:r>
              <w:rPr>
                <w:rStyle w:val="eop"/>
                <w:rFonts w:cs="Arial"/>
                <w:sz w:val="22"/>
                <w:szCs w:val="22"/>
              </w:rPr>
              <w:t>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C2E9A" w14:textId="77777777" w:rsidR="000A64DB" w:rsidRDefault="000A64DB" w:rsidP="000A64DB">
            <w:pPr>
              <w:pStyle w:val="paragraph"/>
              <w:spacing w:before="0" w:beforeAutospacing="0" w:after="0" w:afterAutospacing="0"/>
              <w:ind w:left="45" w:right="45"/>
              <w:textAlignment w:val="baseline"/>
              <w:divId w:val="1086457472"/>
              <w:rPr>
                <w:rFonts w:ascii="Segoe UI" w:hAnsi="Segoe UI" w:cs="Segoe UI"/>
                <w:color w:val="0D0D0D"/>
                <w:sz w:val="18"/>
                <w:szCs w:val="18"/>
              </w:rPr>
            </w:pPr>
            <w:r>
              <w:rPr>
                <w:rStyle w:val="normaltextrun"/>
                <w:rFonts w:ascii="Arial" w:hAnsi="Arial" w:cs="Arial"/>
                <w:color w:val="0D0D0D"/>
                <w:sz w:val="22"/>
                <w:szCs w:val="22"/>
              </w:rPr>
              <w:t>Some of our children have gaps in their earlier learning which impacts their ability to grasp new learning quickly. Small group work with a teacher or trained TA is proven to help close these gaps.</w:t>
            </w:r>
            <w:r>
              <w:rPr>
                <w:rStyle w:val="eop"/>
                <w:rFonts w:cs="Arial"/>
                <w:color w:val="0D0D0D"/>
                <w:sz w:val="22"/>
                <w:szCs w:val="22"/>
              </w:rPr>
              <w:t> </w:t>
            </w:r>
          </w:p>
          <w:p w14:paraId="2A7D552E" w14:textId="28A4D936" w:rsidR="000A64DB" w:rsidRDefault="00D30E86" w:rsidP="000A64DB">
            <w:pPr>
              <w:pStyle w:val="TableRowCentered"/>
              <w:jc w:val="left"/>
              <w:rPr>
                <w:sz w:val="22"/>
              </w:rPr>
            </w:pPr>
            <w:hyperlink r:id="rId15" w:tgtFrame="_blank" w:history="1">
              <w:r w:rsidR="000A64DB">
                <w:rPr>
                  <w:rStyle w:val="normaltextrun"/>
                  <w:rFonts w:cs="Arial"/>
                  <w:color w:val="0000FF"/>
                  <w:sz w:val="22"/>
                  <w:szCs w:val="22"/>
                  <w:u w:val="single"/>
                </w:rPr>
                <w:t>Small group tutition</w:t>
              </w:r>
            </w:hyperlink>
            <w:r w:rsidR="000A64DB">
              <w:rPr>
                <w:rStyle w:val="normaltextrun"/>
                <w:rFonts w:cs="Arial"/>
                <w:sz w:val="22"/>
                <w:szCs w:val="22"/>
              </w:rPr>
              <w:t> </w:t>
            </w:r>
            <w:r w:rsidR="000A64DB">
              <w:rPr>
                <w:rStyle w:val="eop"/>
                <w:rFonts w:cs="Arial"/>
                <w:sz w:val="22"/>
                <w:szCs w:val="22"/>
              </w:rPr>
              <w:t>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572DAB7B" w:rsidR="000A64DB" w:rsidRDefault="000A64DB" w:rsidP="000A64DB">
            <w:pPr>
              <w:pStyle w:val="TableRowCentered"/>
              <w:jc w:val="left"/>
              <w:rPr>
                <w:sz w:val="22"/>
              </w:rPr>
            </w:pPr>
            <w:r>
              <w:rPr>
                <w:rStyle w:val="normaltextrun"/>
                <w:rFonts w:cs="Arial"/>
                <w:sz w:val="22"/>
                <w:szCs w:val="22"/>
              </w:rPr>
              <w:t>1, 2, 3</w:t>
            </w:r>
            <w:r>
              <w:rPr>
                <w:rStyle w:val="eop"/>
                <w:rFonts w:cs="Arial"/>
                <w:sz w:val="22"/>
                <w:szCs w:val="22"/>
              </w:rPr>
              <w:t> </w:t>
            </w:r>
          </w:p>
        </w:tc>
      </w:tr>
      <w:tr w:rsidR="000A64DB" w14:paraId="03FD96B1" w14:textId="77777777" w:rsidTr="70A5E36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0933D" w14:textId="77777777" w:rsidR="000A64DB" w:rsidRDefault="000A64DB" w:rsidP="000A64DB">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color w:val="0D0D0D"/>
                <w:sz w:val="22"/>
                <w:szCs w:val="22"/>
              </w:rPr>
              <w:t>Specialist SEND teaching </w:t>
            </w:r>
            <w:r>
              <w:rPr>
                <w:rStyle w:val="eop"/>
                <w:rFonts w:cs="Arial"/>
                <w:color w:val="0D0D0D"/>
                <w:sz w:val="22"/>
                <w:szCs w:val="22"/>
              </w:rPr>
              <w:t> </w:t>
            </w:r>
          </w:p>
          <w:p w14:paraId="68A6FA89" w14:textId="5FAE600F" w:rsidR="000A64DB" w:rsidRDefault="000A64DB" w:rsidP="70A5E365">
            <w:pPr>
              <w:pStyle w:val="paragraph"/>
              <w:spacing w:before="0" w:beforeAutospacing="0" w:after="0" w:afterAutospacing="0"/>
              <w:ind w:left="45" w:right="45"/>
              <w:rPr>
                <w:rStyle w:val="normaltextrun"/>
                <w:rFonts w:ascii="Arial" w:hAnsi="Arial" w:cs="Arial"/>
                <w:color w:val="0D0D0D" w:themeColor="text1" w:themeTint="F2"/>
                <w:sz w:val="22"/>
                <w:szCs w:val="22"/>
              </w:rPr>
            </w:pPr>
            <w:r w:rsidRPr="70A5E365">
              <w:rPr>
                <w:rStyle w:val="normaltextrun"/>
                <w:rFonts w:ascii="Arial" w:hAnsi="Arial" w:cs="Arial"/>
                <w:color w:val="0D0D0D" w:themeColor="text1" w:themeTint="F2"/>
                <w:sz w:val="22"/>
                <w:szCs w:val="22"/>
              </w:rPr>
              <w:t xml:space="preserve">Use </w:t>
            </w:r>
            <w:r w:rsidR="3D91222A" w:rsidRPr="70A5E365">
              <w:rPr>
                <w:rStyle w:val="normaltextrun"/>
                <w:rFonts w:ascii="Arial" w:hAnsi="Arial" w:cs="Arial"/>
                <w:color w:val="0D0D0D" w:themeColor="text1" w:themeTint="F2"/>
                <w:sz w:val="22"/>
                <w:szCs w:val="22"/>
              </w:rPr>
              <w:t xml:space="preserve">of qualified SEND support teachers on site to deliver interventions in school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27B618" w14:textId="2E80EF7A" w:rsidR="594C17D4" w:rsidRDefault="594C17D4" w:rsidP="70A5E365">
            <w:pPr>
              <w:pStyle w:val="paragraph"/>
              <w:spacing w:before="0" w:beforeAutospacing="0" w:after="0" w:afterAutospacing="0"/>
              <w:ind w:left="45" w:right="45"/>
              <w:rPr>
                <w:rFonts w:ascii="Arial" w:hAnsi="Arial" w:cs="Arial"/>
                <w:sz w:val="22"/>
                <w:szCs w:val="22"/>
              </w:rPr>
            </w:pPr>
            <w:r w:rsidRPr="70A5E365">
              <w:rPr>
                <w:rFonts w:ascii="Arial" w:hAnsi="Arial" w:cs="Arial"/>
                <w:sz w:val="22"/>
                <w:szCs w:val="22"/>
              </w:rPr>
              <w:t xml:space="preserve">Qualified dyslexia tuition and speech and language specialists working with children </w:t>
            </w:r>
          </w:p>
          <w:p w14:paraId="63A72B7D" w14:textId="6524D157" w:rsidR="594C17D4" w:rsidRDefault="00D30E86" w:rsidP="70A5E365">
            <w:pPr>
              <w:pStyle w:val="paragraph"/>
              <w:spacing w:before="0" w:beforeAutospacing="0" w:after="0" w:afterAutospacing="0"/>
              <w:ind w:left="45" w:right="45"/>
              <w:rPr>
                <w:rFonts w:ascii="Arial" w:hAnsi="Arial" w:cs="Arial"/>
                <w:sz w:val="22"/>
                <w:szCs w:val="22"/>
              </w:rPr>
            </w:pPr>
            <w:hyperlink r:id="rId16">
              <w:r w:rsidR="594C17D4" w:rsidRPr="70A5E365">
                <w:rPr>
                  <w:rStyle w:val="Hyperlink"/>
                  <w:rFonts w:cs="Arial"/>
                  <w:sz w:val="22"/>
                  <w:szCs w:val="22"/>
                </w:rPr>
                <w:t>Speech and language interventions</w:t>
              </w:r>
            </w:hyperlink>
            <w:r w:rsidR="594C17D4" w:rsidRPr="70A5E365">
              <w:rPr>
                <w:rFonts w:ascii="Arial" w:hAnsi="Arial" w:cs="Arial"/>
                <w:sz w:val="22"/>
                <w:szCs w:val="22"/>
              </w:rPr>
              <w:t xml:space="preserve"> </w:t>
            </w:r>
          </w:p>
          <w:p w14:paraId="68E65446" w14:textId="45C1B28C" w:rsidR="000A64DB" w:rsidRDefault="00D30E86" w:rsidP="70A5E365">
            <w:pPr>
              <w:pStyle w:val="paragraph"/>
              <w:spacing w:before="0" w:beforeAutospacing="0" w:after="0" w:afterAutospacing="0"/>
              <w:ind w:left="45" w:right="45"/>
              <w:textAlignment w:val="baseline"/>
              <w:divId w:val="1086457472"/>
              <w:rPr>
                <w:rStyle w:val="normaltextrun"/>
                <w:rFonts w:ascii="Arial" w:hAnsi="Arial" w:cs="Arial"/>
                <w:color w:val="0D0D0D"/>
                <w:sz w:val="22"/>
                <w:szCs w:val="22"/>
              </w:rPr>
            </w:pPr>
            <w:hyperlink r:id="rId17">
              <w:r w:rsidR="594C17D4" w:rsidRPr="70A5E365">
                <w:rPr>
                  <w:rStyle w:val="Hyperlink"/>
                  <w:rFonts w:cs="Arial"/>
                  <w:sz w:val="22"/>
                  <w:szCs w:val="22"/>
                </w:rPr>
                <w:t>One to one tution</w:t>
              </w:r>
            </w:hyperlink>
            <w:r w:rsidR="594C17D4" w:rsidRPr="70A5E365">
              <w:rPr>
                <w:rStyle w:val="normaltextrun"/>
                <w:rFonts w:ascii="Arial" w:hAnsi="Arial" w:cs="Arial"/>
                <w:color w:val="0D0D0D" w:themeColor="text1" w:themeTint="F2"/>
                <w:sz w:val="22"/>
                <w:szCs w:val="22"/>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C00F5" w14:textId="26A213DA" w:rsidR="000A64DB" w:rsidRDefault="4C8C2B35" w:rsidP="000A64DB">
            <w:pPr>
              <w:pStyle w:val="TableRowCentered"/>
              <w:jc w:val="left"/>
              <w:rPr>
                <w:rStyle w:val="normaltextrun"/>
                <w:rFonts w:cs="Arial"/>
                <w:sz w:val="22"/>
                <w:szCs w:val="22"/>
              </w:rPr>
            </w:pPr>
            <w:r w:rsidRPr="70A5E365">
              <w:rPr>
                <w:rStyle w:val="normaltextrun"/>
                <w:rFonts w:cs="Arial"/>
                <w:sz w:val="22"/>
                <w:szCs w:val="22"/>
              </w:rPr>
              <w:t>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ECD593B" w:rsidR="00E66558" w:rsidRDefault="009D71E8">
      <w:pPr>
        <w:spacing w:before="240" w:after="120"/>
      </w:pPr>
      <w:r>
        <w:t>Budgeted cost: £</w:t>
      </w:r>
      <w:r w:rsidR="00833315">
        <w:t>59,724</w:t>
      </w:r>
      <w: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70A5E36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A64DB" w14:paraId="2A7D553B" w14:textId="77777777" w:rsidTr="70A5E36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40E032BE" w:rsidR="000A64DB" w:rsidRDefault="000A64DB" w:rsidP="000A64DB">
            <w:pPr>
              <w:pStyle w:val="TableRow"/>
            </w:pPr>
            <w:r>
              <w:rPr>
                <w:rStyle w:val="normaltextrun"/>
                <w:rFonts w:cs="Arial"/>
              </w:rPr>
              <w:t>SLT and Learning Mentor to work closely with staff supporting children displaying ongoing challenging behaviour and learning engagement patterns and those children.</w:t>
            </w:r>
            <w:r>
              <w:rPr>
                <w:rStyle w:val="eop"/>
                <w:rFonts w:cs="Arial"/>
              </w:rPr>
              <w:t>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778AA" w14:textId="77777777" w:rsidR="000A64DB" w:rsidRDefault="000A64DB" w:rsidP="000A64DB">
            <w:pPr>
              <w:pStyle w:val="paragraph"/>
              <w:spacing w:before="0" w:beforeAutospacing="0" w:after="0" w:afterAutospacing="0"/>
              <w:ind w:left="45" w:right="45"/>
              <w:textAlignment w:val="baseline"/>
              <w:divId w:val="1588884353"/>
              <w:rPr>
                <w:rFonts w:ascii="Segoe UI" w:hAnsi="Segoe UI" w:cs="Segoe UI"/>
                <w:color w:val="0D0D0D"/>
                <w:sz w:val="18"/>
                <w:szCs w:val="18"/>
              </w:rPr>
            </w:pPr>
            <w:r>
              <w:rPr>
                <w:rStyle w:val="normaltextrun"/>
                <w:rFonts w:ascii="Arial" w:hAnsi="Arial" w:cs="Arial"/>
                <w:color w:val="0D0D0D"/>
              </w:rPr>
              <w:t>A number of our disadvantaged children have displayed challenging patterns of behaviour and struggle to maintain good behaviour during unstructured periods, such as lunchtime. Through the provision of Lunch Club, these children are supported to build positive relationships, talk through problems and play structured games with adults and one another </w:t>
            </w:r>
            <w:r>
              <w:rPr>
                <w:rStyle w:val="eop"/>
                <w:rFonts w:cs="Arial"/>
                <w:color w:val="0D0D0D"/>
              </w:rPr>
              <w:t> </w:t>
            </w:r>
          </w:p>
          <w:p w14:paraId="2A7D5539" w14:textId="5DAD0333" w:rsidR="000A64DB" w:rsidRDefault="00D30E86" w:rsidP="000A64DB">
            <w:pPr>
              <w:pStyle w:val="TableRowCentered"/>
              <w:jc w:val="left"/>
              <w:rPr>
                <w:sz w:val="22"/>
              </w:rPr>
            </w:pPr>
            <w:hyperlink r:id="rId18" w:tgtFrame="_blank" w:history="1">
              <w:r w:rsidR="000A64DB">
                <w:rPr>
                  <w:rStyle w:val="normaltextrun"/>
                  <w:rFonts w:cs="Arial"/>
                  <w:color w:val="0000FF"/>
                  <w:u w:val="single"/>
                </w:rPr>
                <w:t>Behaviour interventions</w:t>
              </w:r>
            </w:hyperlink>
            <w:r w:rsidR="000A64DB">
              <w:rPr>
                <w:rStyle w:val="eop"/>
                <w:rFonts w:cs="Arial"/>
              </w:rPr>
              <w:t>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6625EBA0" w:rsidR="000A64DB" w:rsidRDefault="000A64DB" w:rsidP="70A5E365">
            <w:pPr>
              <w:pStyle w:val="TableRowCentered"/>
              <w:jc w:val="left"/>
              <w:rPr>
                <w:sz w:val="22"/>
                <w:szCs w:val="22"/>
              </w:rPr>
            </w:pPr>
            <w:r w:rsidRPr="70A5E365">
              <w:rPr>
                <w:rStyle w:val="eop"/>
                <w:rFonts w:cs="Arial"/>
                <w:sz w:val="22"/>
                <w:szCs w:val="22"/>
              </w:rPr>
              <w:t> </w:t>
            </w:r>
            <w:r w:rsidR="28200896" w:rsidRPr="70A5E365">
              <w:rPr>
                <w:rStyle w:val="eop"/>
                <w:rFonts w:cs="Arial"/>
                <w:sz w:val="22"/>
                <w:szCs w:val="22"/>
              </w:rPr>
              <w:t>5</w:t>
            </w:r>
          </w:p>
        </w:tc>
      </w:tr>
      <w:tr w:rsidR="00E66558" w14:paraId="2A7D553F" w14:textId="77777777" w:rsidTr="70A5E36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03E638E2" w:rsidR="00E66558" w:rsidRDefault="5AC344C2" w:rsidP="70A5E365">
            <w:pPr>
              <w:pStyle w:val="TableRow"/>
              <w:rPr>
                <w:sz w:val="22"/>
                <w:szCs w:val="22"/>
              </w:rPr>
            </w:pPr>
            <w:r w:rsidRPr="70A5E365">
              <w:rPr>
                <w:sz w:val="22"/>
                <w:szCs w:val="22"/>
              </w:rPr>
              <w:t>Improve attendance of children through robust tracking processes and systems to engage parents when attendance is below 96%</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5DF26" w14:textId="527E6583" w:rsidR="00E66558" w:rsidRDefault="65B33976" w:rsidP="70A5E365">
            <w:pPr>
              <w:pStyle w:val="TableRowCentered"/>
              <w:jc w:val="left"/>
              <w:rPr>
                <w:sz w:val="22"/>
                <w:szCs w:val="22"/>
              </w:rPr>
            </w:pPr>
            <w:r w:rsidRPr="70A5E365">
              <w:rPr>
                <w:sz w:val="22"/>
                <w:szCs w:val="22"/>
              </w:rPr>
              <w:t xml:space="preserve">The DfE guidance has been informed by engagement with schools that have significantly reduced levels of absence and persistent absence.  </w:t>
            </w:r>
          </w:p>
          <w:p w14:paraId="53FEE371" w14:textId="3175F1F5" w:rsidR="00E66558" w:rsidRDefault="00D30E86" w:rsidP="70A5E365">
            <w:pPr>
              <w:pStyle w:val="TableRowCentered"/>
              <w:jc w:val="left"/>
              <w:rPr>
                <w:sz w:val="22"/>
                <w:szCs w:val="22"/>
              </w:rPr>
            </w:pPr>
            <w:hyperlink r:id="rId19">
              <w:r w:rsidR="65B33976" w:rsidRPr="70A5E365">
                <w:rPr>
                  <w:rStyle w:val="Hyperlink"/>
                  <w:sz w:val="22"/>
                  <w:szCs w:val="22"/>
                </w:rPr>
                <w:t>Improving school attendance</w:t>
              </w:r>
            </w:hyperlink>
          </w:p>
          <w:p w14:paraId="2A7D553D" w14:textId="3C68E05D" w:rsidR="00E66558" w:rsidRDefault="00E66558" w:rsidP="70A5E365">
            <w:pPr>
              <w:pStyle w:val="TableRowCentered"/>
              <w:jc w:val="left"/>
              <w:rPr>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2544073" w:rsidR="00E66558" w:rsidRDefault="4462304F" w:rsidP="70A5E365">
            <w:pPr>
              <w:pStyle w:val="TableRowCentered"/>
              <w:jc w:val="left"/>
              <w:rPr>
                <w:sz w:val="22"/>
                <w:szCs w:val="22"/>
              </w:rPr>
            </w:pPr>
            <w:r w:rsidRPr="70A5E365">
              <w:rPr>
                <w:sz w:val="22"/>
                <w:szCs w:val="22"/>
              </w:rPr>
              <w:t>7</w:t>
            </w:r>
          </w:p>
        </w:tc>
      </w:tr>
      <w:tr w:rsidR="70A5E365" w14:paraId="0FE71533" w14:textId="77777777" w:rsidTr="70A5E36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A49F4" w14:textId="59B8C802" w:rsidR="1866F60E" w:rsidRDefault="1866F60E" w:rsidP="70A5E365">
            <w:pPr>
              <w:pStyle w:val="TableRow"/>
              <w:rPr>
                <w:sz w:val="22"/>
                <w:szCs w:val="22"/>
              </w:rPr>
            </w:pPr>
            <w:r w:rsidRPr="70A5E365">
              <w:rPr>
                <w:sz w:val="22"/>
                <w:szCs w:val="22"/>
              </w:rPr>
              <w:t xml:space="preserve">Deliver interventions to boost emotional wellbeing, support children in processing emotions that a causing </w:t>
            </w:r>
            <w:r w:rsidRPr="70A5E365">
              <w:rPr>
                <w:sz w:val="22"/>
                <w:szCs w:val="22"/>
              </w:rPr>
              <w:lastRenderedPageBreak/>
              <w:t xml:space="preserve">them to have barriers to learning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EF4F45" w14:textId="53BCB833" w:rsidR="2B168718" w:rsidRDefault="00D30E86" w:rsidP="70A5E365">
            <w:pPr>
              <w:pStyle w:val="TableRowCentered"/>
              <w:jc w:val="left"/>
              <w:rPr>
                <w:sz w:val="22"/>
                <w:szCs w:val="22"/>
              </w:rPr>
            </w:pPr>
            <w:hyperlink r:id="rId20">
              <w:r w:rsidR="2B168718" w:rsidRPr="70A5E365">
                <w:rPr>
                  <w:rStyle w:val="Hyperlink"/>
                  <w:sz w:val="22"/>
                  <w:szCs w:val="22"/>
                </w:rPr>
                <w:t>Social and emotional learning</w:t>
              </w:r>
            </w:hyperlink>
          </w:p>
          <w:p w14:paraId="32A397C6" w14:textId="3514CC73" w:rsidR="4C379896" w:rsidRDefault="4C379896" w:rsidP="70A5E365">
            <w:pPr>
              <w:pStyle w:val="TableRowCentered"/>
              <w:jc w:val="left"/>
              <w:rPr>
                <w:sz w:val="22"/>
                <w:szCs w:val="22"/>
              </w:rPr>
            </w:pPr>
            <w:r w:rsidRPr="70A5E365">
              <w:rPr>
                <w:sz w:val="22"/>
                <w:szCs w:val="22"/>
              </w:rPr>
              <w:t xml:space="preserve">ELSA sessions use practices that are approved by the Educational Psychology Team. We also use approved interventions to support </w:t>
            </w:r>
            <w:r w:rsidRPr="70A5E365">
              <w:rPr>
                <w:sz w:val="22"/>
                <w:szCs w:val="22"/>
              </w:rPr>
              <w:lastRenderedPageBreak/>
              <w:t xml:space="preserve">children who have experienced </w:t>
            </w:r>
            <w:r w:rsidR="25A7A6ED" w:rsidRPr="70A5E365">
              <w:rPr>
                <w:sz w:val="22"/>
                <w:szCs w:val="22"/>
              </w:rPr>
              <w:t>difficulties</w:t>
            </w:r>
            <w:r w:rsidRPr="70A5E365">
              <w:rPr>
                <w:sz w:val="22"/>
                <w:szCs w:val="22"/>
              </w:rPr>
              <w:t xml:space="preserve"> with attachment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8E80" w14:textId="526A8393" w:rsidR="3265410E" w:rsidRDefault="3265410E" w:rsidP="70A5E365">
            <w:pPr>
              <w:pStyle w:val="TableRowCentered"/>
              <w:jc w:val="left"/>
              <w:rPr>
                <w:sz w:val="22"/>
                <w:szCs w:val="22"/>
              </w:rPr>
            </w:pPr>
            <w:r w:rsidRPr="70A5E365">
              <w:rPr>
                <w:sz w:val="22"/>
                <w:szCs w:val="22"/>
              </w:rPr>
              <w:lastRenderedPageBreak/>
              <w:t>5</w:t>
            </w:r>
            <w:r w:rsidR="4A9D21B6" w:rsidRPr="70A5E365">
              <w:rPr>
                <w:sz w:val="22"/>
                <w:szCs w:val="22"/>
              </w:rPr>
              <w:t>, 6</w:t>
            </w:r>
          </w:p>
        </w:tc>
      </w:tr>
      <w:tr w:rsidR="70A5E365" w14:paraId="68718CDE" w14:textId="77777777" w:rsidTr="70A5E36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840CEC" w14:textId="482473C8" w:rsidR="69BB6C49" w:rsidRDefault="69BB6C49" w:rsidP="70A5E365">
            <w:pPr>
              <w:pStyle w:val="TableRow"/>
              <w:spacing w:line="259" w:lineRule="auto"/>
            </w:pPr>
            <w:r w:rsidRPr="70A5E365">
              <w:rPr>
                <w:sz w:val="22"/>
                <w:szCs w:val="22"/>
              </w:rPr>
              <w:t xml:space="preserve">Build cultural capital to address children’s gaps in experiences through experiences such as trips and partners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19DB3" w14:textId="311C2A1E" w:rsidR="7EE8B450" w:rsidRDefault="7EE8B450" w:rsidP="70A5E365">
            <w:pPr>
              <w:pStyle w:val="TableRowCentered"/>
              <w:jc w:val="left"/>
              <w:rPr>
                <w:sz w:val="22"/>
                <w:szCs w:val="22"/>
              </w:rPr>
            </w:pPr>
            <w:r w:rsidRPr="70A5E365">
              <w:rPr>
                <w:sz w:val="22"/>
                <w:szCs w:val="22"/>
              </w:rPr>
              <w:t xml:space="preserve">Evidence shows that positive wellbeing and participation will ensure understanding and learning is meaningful with key life skills explored within the local community.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4882A" w14:textId="025C7913" w:rsidR="6C0C70A2" w:rsidRDefault="6C0C70A2" w:rsidP="70A5E365">
            <w:pPr>
              <w:pStyle w:val="TableRowCentered"/>
              <w:jc w:val="left"/>
              <w:rPr>
                <w:sz w:val="22"/>
                <w:szCs w:val="22"/>
              </w:rPr>
            </w:pPr>
            <w:r w:rsidRPr="70A5E365">
              <w:rPr>
                <w:sz w:val="22"/>
                <w:szCs w:val="22"/>
              </w:rPr>
              <w:t>5, 6</w:t>
            </w:r>
          </w:p>
        </w:tc>
      </w:tr>
    </w:tbl>
    <w:p w14:paraId="2A7D5540" w14:textId="5C895861" w:rsidR="00E66558" w:rsidRDefault="00E66558">
      <w:pPr>
        <w:spacing w:before="240" w:after="0"/>
        <w:rPr>
          <w:b/>
          <w:bCs/>
          <w:color w:val="104F75"/>
          <w:sz w:val="28"/>
          <w:szCs w:val="28"/>
        </w:rPr>
      </w:pPr>
    </w:p>
    <w:p w14:paraId="1941C1F4" w14:textId="1BCBD13D" w:rsidR="003C78F6" w:rsidRDefault="003C78F6" w:rsidP="003C78F6">
      <w:pPr>
        <w:rPr>
          <w:b/>
          <w:color w:val="104F75"/>
          <w:sz w:val="36"/>
        </w:rPr>
      </w:pPr>
      <w:r>
        <w:rPr>
          <w:b/>
          <w:bCs/>
          <w:color w:val="104F75"/>
          <w:sz w:val="28"/>
          <w:szCs w:val="28"/>
        </w:rPr>
        <w:t xml:space="preserve">Total </w:t>
      </w:r>
      <w:r w:rsidR="00257D37">
        <w:rPr>
          <w:b/>
          <w:bCs/>
          <w:color w:val="104F75"/>
          <w:sz w:val="28"/>
          <w:szCs w:val="28"/>
        </w:rPr>
        <w:t>original forecast budget</w:t>
      </w:r>
      <w:r>
        <w:rPr>
          <w:b/>
          <w:bCs/>
          <w:color w:val="104F75"/>
          <w:sz w:val="28"/>
          <w:szCs w:val="28"/>
        </w:rPr>
        <w:t>: £133, 430</w:t>
      </w:r>
    </w:p>
    <w:p w14:paraId="1C1079CD" w14:textId="0440031D" w:rsidR="00D523E1" w:rsidRDefault="00D523E1">
      <w:pPr>
        <w:spacing w:before="240" w:after="0"/>
        <w:rPr>
          <w:b/>
          <w:bCs/>
          <w:color w:val="104F75"/>
          <w:sz w:val="28"/>
          <w:szCs w:val="28"/>
        </w:rPr>
      </w:pPr>
      <w:r>
        <w:rPr>
          <w:b/>
          <w:bCs/>
          <w:color w:val="104F75"/>
          <w:sz w:val="28"/>
          <w:szCs w:val="28"/>
        </w:rPr>
        <w:t>Actual fund</w:t>
      </w:r>
      <w:r w:rsidR="00257D37">
        <w:rPr>
          <w:b/>
          <w:bCs/>
          <w:color w:val="104F75"/>
          <w:sz w:val="28"/>
          <w:szCs w:val="28"/>
        </w:rPr>
        <w:t>s</w:t>
      </w:r>
      <w:r>
        <w:rPr>
          <w:b/>
          <w:bCs/>
          <w:color w:val="104F75"/>
          <w:sz w:val="28"/>
          <w:szCs w:val="28"/>
        </w:rPr>
        <w:t xml:space="preserve"> received £</w:t>
      </w:r>
      <w:r w:rsidR="003C78F6">
        <w:rPr>
          <w:b/>
          <w:bCs/>
          <w:color w:val="104F75"/>
          <w:sz w:val="28"/>
          <w:szCs w:val="28"/>
        </w:rPr>
        <w:t>130,297.50</w:t>
      </w:r>
      <w:r w:rsidR="00257D37">
        <w:rPr>
          <w:b/>
          <w:bCs/>
          <w:color w:val="104F75"/>
          <w:sz w:val="28"/>
          <w:szCs w:val="28"/>
        </w:rPr>
        <w:t xml:space="preserve"> </w:t>
      </w:r>
      <w:bookmarkStart w:id="17" w:name="_GoBack"/>
      <w:bookmarkEnd w:id="17"/>
    </w:p>
    <w:p w14:paraId="6ACFE01E" w14:textId="54114FF2" w:rsidR="003C78F6" w:rsidRDefault="003C78F6">
      <w:pPr>
        <w:spacing w:before="240" w:after="0"/>
        <w:rPr>
          <w:b/>
          <w:bCs/>
          <w:color w:val="104F75"/>
          <w:sz w:val="28"/>
          <w:szCs w:val="28"/>
        </w:rPr>
      </w:pPr>
      <w:r>
        <w:rPr>
          <w:b/>
          <w:bCs/>
          <w:color w:val="104F75"/>
          <w:sz w:val="28"/>
          <w:szCs w:val="28"/>
        </w:rPr>
        <w:t>Total expenditure £158,494.85</w:t>
      </w:r>
    </w:p>
    <w:p w14:paraId="2EBEF2D9" w14:textId="1D99C56C" w:rsidR="00833315" w:rsidRDefault="00833315" w:rsidP="00064366">
      <w:pPr>
        <w:pStyle w:val="Heading1"/>
      </w:pPr>
    </w:p>
    <w:p w14:paraId="2F37888B" w14:textId="77777777" w:rsidR="00D523E1" w:rsidRPr="00D523E1" w:rsidRDefault="00D523E1" w:rsidP="00D523E1">
      <w:pPr>
        <w:sectPr w:rsidR="00D523E1" w:rsidRPr="00D523E1">
          <w:footerReference w:type="default" r:id="rId21"/>
          <w:pgSz w:w="11906" w:h="16838"/>
          <w:pgMar w:top="1134" w:right="1276" w:bottom="1134" w:left="1134" w:header="709" w:footer="709" w:gutter="0"/>
          <w:cols w:space="720"/>
        </w:sectPr>
      </w:pPr>
    </w:p>
    <w:p w14:paraId="2A7D5542" w14:textId="1336FBEA" w:rsidR="00E66558" w:rsidRDefault="009D71E8" w:rsidP="00064366">
      <w:pPr>
        <w:pStyle w:val="Heading1"/>
      </w:pPr>
      <w:r>
        <w:lastRenderedPageBreak/>
        <w:t>Part B: Review of the previous academic year</w:t>
      </w:r>
      <w:r w:rsidR="006D6850">
        <w:tab/>
      </w:r>
    </w:p>
    <w:tbl>
      <w:tblPr>
        <w:tblStyle w:val="TableGrid"/>
        <w:tblW w:w="0" w:type="auto"/>
        <w:tblLook w:val="04A0" w:firstRow="1" w:lastRow="0" w:firstColumn="1" w:lastColumn="0" w:noHBand="0" w:noVBand="1"/>
      </w:tblPr>
      <w:tblGrid>
        <w:gridCol w:w="2263"/>
        <w:gridCol w:w="3695"/>
        <w:gridCol w:w="2893"/>
        <w:gridCol w:w="2999"/>
        <w:gridCol w:w="2710"/>
      </w:tblGrid>
      <w:tr w:rsidR="00515223" w:rsidRPr="00515223" w14:paraId="64E88AF5" w14:textId="5A5E9DA7" w:rsidTr="2351F72B">
        <w:tc>
          <w:tcPr>
            <w:tcW w:w="14560" w:type="dxa"/>
            <w:gridSpan w:val="5"/>
          </w:tcPr>
          <w:p w14:paraId="7AD303CE" w14:textId="45F1E1E9" w:rsidR="00515223" w:rsidRPr="00515223" w:rsidRDefault="00515223" w:rsidP="00515223">
            <w:pPr>
              <w:jc w:val="center"/>
            </w:pPr>
            <w:r w:rsidRPr="00515223">
              <w:t>Year 1 Review – 2022-2023</w:t>
            </w:r>
          </w:p>
        </w:tc>
      </w:tr>
      <w:tr w:rsidR="00515223" w:rsidRPr="00515223" w14:paraId="0F0064D9" w14:textId="0C45E482" w:rsidTr="2351F72B">
        <w:tc>
          <w:tcPr>
            <w:tcW w:w="2263" w:type="dxa"/>
          </w:tcPr>
          <w:p w14:paraId="685040B5" w14:textId="591E6BEC" w:rsidR="00515223" w:rsidRPr="00515223" w:rsidRDefault="00515223" w:rsidP="006D6850">
            <w:pPr>
              <w:rPr>
                <w:sz w:val="20"/>
                <w:szCs w:val="20"/>
              </w:rPr>
            </w:pPr>
            <w:r w:rsidRPr="00515223">
              <w:rPr>
                <w:sz w:val="20"/>
                <w:szCs w:val="20"/>
              </w:rPr>
              <w:t xml:space="preserve">Action </w:t>
            </w:r>
          </w:p>
        </w:tc>
        <w:tc>
          <w:tcPr>
            <w:tcW w:w="3695" w:type="dxa"/>
          </w:tcPr>
          <w:p w14:paraId="4827CE91" w14:textId="592E0786" w:rsidR="00515223" w:rsidRPr="00515223" w:rsidRDefault="00515223" w:rsidP="006D6850">
            <w:pPr>
              <w:rPr>
                <w:sz w:val="20"/>
                <w:szCs w:val="20"/>
              </w:rPr>
            </w:pPr>
            <w:r w:rsidRPr="00515223">
              <w:rPr>
                <w:sz w:val="20"/>
                <w:szCs w:val="20"/>
              </w:rPr>
              <w:t xml:space="preserve">Desired outcome </w:t>
            </w:r>
          </w:p>
        </w:tc>
        <w:tc>
          <w:tcPr>
            <w:tcW w:w="2893" w:type="dxa"/>
          </w:tcPr>
          <w:p w14:paraId="3A2C6A4A" w14:textId="68BAAF05" w:rsidR="00515223" w:rsidRPr="00515223" w:rsidRDefault="00515223" w:rsidP="006D6850">
            <w:pPr>
              <w:rPr>
                <w:sz w:val="20"/>
                <w:szCs w:val="20"/>
              </w:rPr>
            </w:pPr>
            <w:r w:rsidRPr="00515223">
              <w:rPr>
                <w:sz w:val="20"/>
                <w:szCs w:val="20"/>
              </w:rPr>
              <w:t xml:space="preserve">Impact </w:t>
            </w:r>
          </w:p>
        </w:tc>
        <w:tc>
          <w:tcPr>
            <w:tcW w:w="2999" w:type="dxa"/>
          </w:tcPr>
          <w:p w14:paraId="54F67C03" w14:textId="1B6ED1CD" w:rsidR="00515223" w:rsidRPr="00515223" w:rsidRDefault="00515223" w:rsidP="006D6850">
            <w:pPr>
              <w:rPr>
                <w:sz w:val="20"/>
                <w:szCs w:val="20"/>
              </w:rPr>
            </w:pPr>
            <w:r w:rsidRPr="00515223">
              <w:rPr>
                <w:sz w:val="20"/>
                <w:szCs w:val="20"/>
              </w:rPr>
              <w:t>Lessons learned</w:t>
            </w:r>
          </w:p>
        </w:tc>
        <w:tc>
          <w:tcPr>
            <w:tcW w:w="2710" w:type="dxa"/>
          </w:tcPr>
          <w:p w14:paraId="705C0DA4" w14:textId="3E6BBA3E" w:rsidR="00515223" w:rsidRPr="00515223" w:rsidRDefault="00515223" w:rsidP="006D6850">
            <w:pPr>
              <w:rPr>
                <w:sz w:val="20"/>
                <w:szCs w:val="20"/>
              </w:rPr>
            </w:pPr>
            <w:r w:rsidRPr="00515223">
              <w:rPr>
                <w:sz w:val="20"/>
                <w:szCs w:val="20"/>
              </w:rPr>
              <w:t>Cost</w:t>
            </w:r>
          </w:p>
        </w:tc>
      </w:tr>
      <w:tr w:rsidR="00013B5B" w:rsidRPr="00013B5B" w14:paraId="060A6EAD" w14:textId="1684322F" w:rsidTr="2351F72B">
        <w:tc>
          <w:tcPr>
            <w:tcW w:w="2263" w:type="dxa"/>
          </w:tcPr>
          <w:p w14:paraId="517644A3" w14:textId="5F18CFEF" w:rsidR="00013B5B" w:rsidRPr="00013B5B" w:rsidRDefault="00013B5B" w:rsidP="00013B5B">
            <w:pPr>
              <w:rPr>
                <w:sz w:val="20"/>
                <w:szCs w:val="20"/>
              </w:rPr>
            </w:pPr>
            <w:r w:rsidRPr="00013B5B">
              <w:rPr>
                <w:sz w:val="20"/>
                <w:szCs w:val="20"/>
              </w:rPr>
              <w:t xml:space="preserve">Increased proportion of disadvantaged children In EYFS to attain Early Learning Goals in reading, writing and maths </w:t>
            </w:r>
          </w:p>
        </w:tc>
        <w:tc>
          <w:tcPr>
            <w:tcW w:w="3695" w:type="dxa"/>
          </w:tcPr>
          <w:p w14:paraId="1D297F93" w14:textId="55EDE993" w:rsidR="00013B5B" w:rsidRPr="00013B5B" w:rsidRDefault="00013B5B" w:rsidP="00013B5B">
            <w:pPr>
              <w:rPr>
                <w:sz w:val="20"/>
                <w:szCs w:val="20"/>
              </w:rPr>
            </w:pPr>
            <w:r w:rsidRPr="00013B5B">
              <w:rPr>
                <w:sz w:val="20"/>
                <w:szCs w:val="20"/>
              </w:rPr>
              <w:t xml:space="preserve">Attainment of children in reading, writing and maths will be closer to that of their non-disadvantaged peers. This will be measured using external data for EYFS and monitored termly via internal tracking.  </w:t>
            </w:r>
          </w:p>
        </w:tc>
        <w:tc>
          <w:tcPr>
            <w:tcW w:w="2893" w:type="dxa"/>
          </w:tcPr>
          <w:p w14:paraId="5C0FDA5B" w14:textId="10B12A9C" w:rsidR="00013B5B" w:rsidRPr="00013B5B" w:rsidRDefault="00013B5B" w:rsidP="00013B5B">
            <w:pPr>
              <w:rPr>
                <w:sz w:val="20"/>
                <w:szCs w:val="20"/>
              </w:rPr>
            </w:pPr>
            <w:r>
              <w:rPr>
                <w:sz w:val="20"/>
                <w:szCs w:val="20"/>
              </w:rPr>
              <w:t>Summer 2023 - In Reading, Writing and Maths, the attainment of disadvantaged children was lower than that of their non-disadvantaged peers</w:t>
            </w:r>
            <w:r w:rsidR="00861345">
              <w:rPr>
                <w:sz w:val="20"/>
                <w:szCs w:val="20"/>
              </w:rPr>
              <w:t>. In Reading and Maths, a greater proportion of disadvantaged children made accelerated progress from their starting points. In writing, progress was broadly in line with non-disadvantaged peers</w:t>
            </w:r>
          </w:p>
        </w:tc>
        <w:tc>
          <w:tcPr>
            <w:tcW w:w="2999" w:type="dxa"/>
          </w:tcPr>
          <w:p w14:paraId="2D17A37F" w14:textId="77777777" w:rsidR="00013B5B" w:rsidRDefault="00861345" w:rsidP="00861345">
            <w:pPr>
              <w:rPr>
                <w:sz w:val="20"/>
                <w:szCs w:val="20"/>
              </w:rPr>
            </w:pPr>
            <w:r>
              <w:rPr>
                <w:sz w:val="20"/>
                <w:szCs w:val="20"/>
              </w:rPr>
              <w:t xml:space="preserve">Little Wandle for phonics is having a positive effect as is work done on Pathways to Write and the First4Maths approach. </w:t>
            </w:r>
          </w:p>
          <w:p w14:paraId="6738B87D" w14:textId="6E2A0CAA" w:rsidR="00861345" w:rsidRPr="00013B5B" w:rsidRDefault="00861345" w:rsidP="49A49121">
            <w:pPr>
              <w:rPr>
                <w:sz w:val="20"/>
                <w:szCs w:val="20"/>
                <w:highlight w:val="yellow"/>
              </w:rPr>
            </w:pPr>
            <w:r w:rsidRPr="49A49121">
              <w:rPr>
                <w:sz w:val="20"/>
                <w:szCs w:val="20"/>
              </w:rPr>
              <w:t xml:space="preserve">Continue work implemented last year with interventions focusing on ensuring disadvantaged children are ready for learning </w:t>
            </w:r>
          </w:p>
        </w:tc>
        <w:tc>
          <w:tcPr>
            <w:tcW w:w="2710" w:type="dxa"/>
          </w:tcPr>
          <w:p w14:paraId="6885F43D" w14:textId="6E61C540" w:rsidR="00013B5B" w:rsidRPr="00013B5B" w:rsidRDefault="00B4003E" w:rsidP="00013B5B">
            <w:pPr>
              <w:rPr>
                <w:sz w:val="20"/>
                <w:szCs w:val="20"/>
              </w:rPr>
            </w:pPr>
            <w:r>
              <w:rPr>
                <w:sz w:val="20"/>
                <w:szCs w:val="20"/>
              </w:rPr>
              <w:t>£1192.87</w:t>
            </w:r>
          </w:p>
        </w:tc>
      </w:tr>
      <w:tr w:rsidR="00013B5B" w:rsidRPr="00013B5B" w14:paraId="06BC3BF6" w14:textId="75F7A6B7" w:rsidTr="2351F72B">
        <w:tc>
          <w:tcPr>
            <w:tcW w:w="2263" w:type="dxa"/>
          </w:tcPr>
          <w:p w14:paraId="00980C41" w14:textId="1BCFDDF8" w:rsidR="00013B5B" w:rsidRPr="00013B5B" w:rsidRDefault="00013B5B" w:rsidP="00013B5B">
            <w:pPr>
              <w:rPr>
                <w:sz w:val="20"/>
                <w:szCs w:val="20"/>
              </w:rPr>
            </w:pPr>
            <w:r w:rsidRPr="00013B5B">
              <w:rPr>
                <w:sz w:val="20"/>
                <w:szCs w:val="20"/>
              </w:rPr>
              <w:t>Increased proportion of disadvantaged children to be working at the expected standard in all year groups in reading</w:t>
            </w:r>
          </w:p>
        </w:tc>
        <w:tc>
          <w:tcPr>
            <w:tcW w:w="3695" w:type="dxa"/>
          </w:tcPr>
          <w:p w14:paraId="59449F77" w14:textId="1083302A" w:rsidR="00013B5B" w:rsidRPr="00013B5B" w:rsidRDefault="00013B5B" w:rsidP="00013B5B">
            <w:pPr>
              <w:rPr>
                <w:sz w:val="20"/>
                <w:szCs w:val="20"/>
              </w:rPr>
            </w:pPr>
            <w:r w:rsidRPr="00013B5B">
              <w:rPr>
                <w:sz w:val="20"/>
                <w:szCs w:val="20"/>
              </w:rPr>
              <w:t xml:space="preserve">Attainment of children in reading will be closer to that of their non-disadvantaged peers. This will be measured and monitored termly. Progress for children with SEND will be monitored via their SEND profile </w:t>
            </w:r>
          </w:p>
        </w:tc>
        <w:tc>
          <w:tcPr>
            <w:tcW w:w="2893" w:type="dxa"/>
          </w:tcPr>
          <w:p w14:paraId="46121135" w14:textId="6845BA74" w:rsidR="00861345" w:rsidRPr="00013B5B" w:rsidRDefault="33D9745D" w:rsidP="195A0A87">
            <w:pPr>
              <w:rPr>
                <w:sz w:val="20"/>
                <w:szCs w:val="20"/>
              </w:rPr>
            </w:pPr>
            <w:r w:rsidRPr="195A0A87">
              <w:rPr>
                <w:sz w:val="20"/>
                <w:szCs w:val="20"/>
              </w:rPr>
              <w:t xml:space="preserve">In the Year 1 phonics screening, </w:t>
            </w:r>
            <w:r w:rsidR="2BBDDC42" w:rsidRPr="195A0A87">
              <w:rPr>
                <w:sz w:val="20"/>
                <w:szCs w:val="20"/>
              </w:rPr>
              <w:t xml:space="preserve">67% of the disadvantaged children passed the phonics screening test. Those who did not have significant SEND and have EHCPs in place. </w:t>
            </w:r>
          </w:p>
          <w:p w14:paraId="65443BEC" w14:textId="6A09F430" w:rsidR="00861345" w:rsidRPr="00013B5B" w:rsidRDefault="00861345" w:rsidP="49A49121">
            <w:pPr>
              <w:rPr>
                <w:sz w:val="20"/>
                <w:szCs w:val="20"/>
              </w:rPr>
            </w:pPr>
            <w:r w:rsidRPr="49A49121">
              <w:rPr>
                <w:sz w:val="20"/>
                <w:szCs w:val="20"/>
              </w:rPr>
              <w:t xml:space="preserve">Whilst attainment </w:t>
            </w:r>
            <w:r w:rsidR="00396C4D" w:rsidRPr="49A49121">
              <w:rPr>
                <w:sz w:val="20"/>
                <w:szCs w:val="20"/>
              </w:rPr>
              <w:t xml:space="preserve">of disadvantaged pupils is lower in reading than that of their non-disadvantaged peers, the progress of disadvantaged pupils between Summer 2022 and Summer 2023 slightly </w:t>
            </w:r>
            <w:r w:rsidR="00396C4D" w:rsidRPr="49A49121">
              <w:rPr>
                <w:sz w:val="20"/>
                <w:szCs w:val="20"/>
              </w:rPr>
              <w:lastRenderedPageBreak/>
              <w:t xml:space="preserve">exceeded that of non-disadvantaged peers. </w:t>
            </w:r>
          </w:p>
          <w:p w14:paraId="2530E5C8" w14:textId="5732F54D" w:rsidR="00861345" w:rsidRPr="00013B5B" w:rsidRDefault="010EA795" w:rsidP="49A49121">
            <w:pPr>
              <w:rPr>
                <w:sz w:val="20"/>
                <w:szCs w:val="20"/>
              </w:rPr>
            </w:pPr>
            <w:r w:rsidRPr="49A49121">
              <w:rPr>
                <w:sz w:val="20"/>
                <w:szCs w:val="20"/>
              </w:rPr>
              <w:t>However, data shows that there is a significant proportion of disadvantaged children (over 50% in current Year 3 and just below 50% of Year 4) not reading at the expected standard.</w:t>
            </w:r>
          </w:p>
          <w:p w14:paraId="38A6700C" w14:textId="5A187D8C" w:rsidR="00861345" w:rsidRPr="00013B5B" w:rsidRDefault="0409C10C" w:rsidP="49A49121">
            <w:pPr>
              <w:rPr>
                <w:sz w:val="20"/>
                <w:szCs w:val="20"/>
              </w:rPr>
            </w:pPr>
            <w:r w:rsidRPr="49A49121">
              <w:rPr>
                <w:sz w:val="20"/>
                <w:szCs w:val="20"/>
              </w:rPr>
              <w:t>Additional 1:1 reading sessions was particularly successful</w:t>
            </w:r>
          </w:p>
        </w:tc>
        <w:tc>
          <w:tcPr>
            <w:tcW w:w="2999" w:type="dxa"/>
          </w:tcPr>
          <w:p w14:paraId="0476CA74" w14:textId="6AE1A0B1" w:rsidR="00396C4D" w:rsidRDefault="00396C4D" w:rsidP="49A49121">
            <w:pPr>
              <w:rPr>
                <w:sz w:val="20"/>
                <w:szCs w:val="20"/>
              </w:rPr>
            </w:pPr>
            <w:r w:rsidRPr="49A49121">
              <w:rPr>
                <w:sz w:val="20"/>
                <w:szCs w:val="20"/>
              </w:rPr>
              <w:lastRenderedPageBreak/>
              <w:t>Continue with interventions targeting improving attainment in reading such as reading buddies and comprehension intervention groups</w:t>
            </w:r>
            <w:r w:rsidR="2A4A3C0F" w:rsidRPr="49A49121">
              <w:rPr>
                <w:sz w:val="20"/>
                <w:szCs w:val="20"/>
              </w:rPr>
              <w:t xml:space="preserve">. </w:t>
            </w:r>
          </w:p>
          <w:p w14:paraId="642551B3" w14:textId="32EA3887" w:rsidR="00396C4D" w:rsidRPr="00013B5B" w:rsidRDefault="00396C4D" w:rsidP="49A49121">
            <w:pPr>
              <w:rPr>
                <w:sz w:val="20"/>
                <w:szCs w:val="20"/>
                <w:highlight w:val="yellow"/>
              </w:rPr>
            </w:pPr>
            <w:r w:rsidRPr="49A49121">
              <w:rPr>
                <w:sz w:val="20"/>
                <w:szCs w:val="20"/>
              </w:rPr>
              <w:t xml:space="preserve">Include engagement with reading hub to boost reading for pleasure activities </w:t>
            </w:r>
          </w:p>
        </w:tc>
        <w:tc>
          <w:tcPr>
            <w:tcW w:w="2710" w:type="dxa"/>
          </w:tcPr>
          <w:p w14:paraId="38C3C386" w14:textId="5AC96EDB" w:rsidR="00013B5B" w:rsidRPr="00013B5B" w:rsidRDefault="003C78F6" w:rsidP="00013B5B">
            <w:pPr>
              <w:rPr>
                <w:sz w:val="20"/>
                <w:szCs w:val="20"/>
              </w:rPr>
            </w:pPr>
            <w:r>
              <w:rPr>
                <w:sz w:val="20"/>
                <w:szCs w:val="20"/>
              </w:rPr>
              <w:t>£19,979.49</w:t>
            </w:r>
          </w:p>
        </w:tc>
      </w:tr>
      <w:tr w:rsidR="00013B5B" w:rsidRPr="00013B5B" w14:paraId="0B20B3E3" w14:textId="4930CE0F" w:rsidTr="2351F72B">
        <w:tc>
          <w:tcPr>
            <w:tcW w:w="2263" w:type="dxa"/>
          </w:tcPr>
          <w:p w14:paraId="646A9182" w14:textId="77777777" w:rsidR="00013B5B" w:rsidRPr="00013B5B" w:rsidRDefault="00013B5B" w:rsidP="00013B5B">
            <w:pPr>
              <w:pStyle w:val="TableRow"/>
              <w:rPr>
                <w:sz w:val="20"/>
                <w:szCs w:val="20"/>
              </w:rPr>
            </w:pPr>
            <w:r w:rsidRPr="00013B5B">
              <w:rPr>
                <w:sz w:val="20"/>
                <w:szCs w:val="20"/>
              </w:rPr>
              <w:t>Increased proportion of disadvantaged children to be working at the expected standard in all year groups in writing</w:t>
            </w:r>
          </w:p>
          <w:p w14:paraId="6D3CA126" w14:textId="13DB7029" w:rsidR="00013B5B" w:rsidRPr="00013B5B" w:rsidRDefault="00013B5B" w:rsidP="00013B5B">
            <w:pPr>
              <w:rPr>
                <w:sz w:val="20"/>
                <w:szCs w:val="20"/>
              </w:rPr>
            </w:pPr>
          </w:p>
        </w:tc>
        <w:tc>
          <w:tcPr>
            <w:tcW w:w="3695" w:type="dxa"/>
          </w:tcPr>
          <w:p w14:paraId="675D2667" w14:textId="77777777" w:rsidR="00013B5B" w:rsidRPr="00013B5B" w:rsidRDefault="00013B5B" w:rsidP="00013B5B">
            <w:pPr>
              <w:pStyle w:val="TableRowCentered"/>
              <w:spacing w:line="259" w:lineRule="auto"/>
              <w:jc w:val="left"/>
              <w:rPr>
                <w:sz w:val="20"/>
              </w:rPr>
            </w:pPr>
            <w:r w:rsidRPr="00013B5B">
              <w:rPr>
                <w:sz w:val="20"/>
              </w:rPr>
              <w:t>Attainment of children in writing will be closer to that of their non-disadvantaged peers. This will be measured and monitored termly. Progress for children with SEND will be monitored via their SEND profile</w:t>
            </w:r>
          </w:p>
          <w:p w14:paraId="49FF12AF" w14:textId="77777777" w:rsidR="00013B5B" w:rsidRPr="00013B5B" w:rsidRDefault="00013B5B" w:rsidP="00013B5B">
            <w:pPr>
              <w:rPr>
                <w:sz w:val="20"/>
                <w:szCs w:val="20"/>
              </w:rPr>
            </w:pPr>
          </w:p>
        </w:tc>
        <w:tc>
          <w:tcPr>
            <w:tcW w:w="2893" w:type="dxa"/>
          </w:tcPr>
          <w:p w14:paraId="597CA25B" w14:textId="6709533B" w:rsidR="00013B5B" w:rsidRPr="00013B5B" w:rsidRDefault="00F231B8" w:rsidP="00F231B8">
            <w:pPr>
              <w:rPr>
                <w:sz w:val="20"/>
                <w:szCs w:val="20"/>
              </w:rPr>
            </w:pPr>
            <w:r>
              <w:rPr>
                <w:sz w:val="20"/>
                <w:szCs w:val="20"/>
              </w:rPr>
              <w:t>Whilst attainment of disadvantaged pupils is lower in writing than that of their non-disadvantaged peers, the progress of disadvantaged pupils between Summer 2022 and Summer 2023 slightly exceeded that of non-disadvantaged peers.</w:t>
            </w:r>
          </w:p>
        </w:tc>
        <w:tc>
          <w:tcPr>
            <w:tcW w:w="2999" w:type="dxa"/>
          </w:tcPr>
          <w:p w14:paraId="187EAC9D" w14:textId="77777777" w:rsidR="00013B5B" w:rsidRDefault="00F231B8" w:rsidP="00F231B8">
            <w:pPr>
              <w:rPr>
                <w:sz w:val="20"/>
                <w:szCs w:val="20"/>
              </w:rPr>
            </w:pPr>
            <w:r>
              <w:rPr>
                <w:sz w:val="20"/>
                <w:szCs w:val="20"/>
              </w:rPr>
              <w:t xml:space="preserve">Continue with early bird interventions and keep up sessions targeting disadvantaged children first </w:t>
            </w:r>
          </w:p>
          <w:p w14:paraId="1D6D74A6" w14:textId="44AA8FB9" w:rsidR="00F231B8" w:rsidRPr="00013B5B" w:rsidRDefault="00F231B8" w:rsidP="00F231B8">
            <w:pPr>
              <w:rPr>
                <w:sz w:val="20"/>
                <w:szCs w:val="20"/>
              </w:rPr>
            </w:pPr>
            <w:r>
              <w:rPr>
                <w:sz w:val="20"/>
                <w:szCs w:val="20"/>
              </w:rPr>
              <w:t xml:space="preserve">Continue with key skills interventions addressing gaps in learning in writing </w:t>
            </w:r>
          </w:p>
        </w:tc>
        <w:tc>
          <w:tcPr>
            <w:tcW w:w="2710" w:type="dxa"/>
          </w:tcPr>
          <w:p w14:paraId="705E023E" w14:textId="6A00FEBA" w:rsidR="00013B5B" w:rsidRPr="00013B5B" w:rsidRDefault="003C78F6" w:rsidP="00013B5B">
            <w:pPr>
              <w:rPr>
                <w:sz w:val="20"/>
                <w:szCs w:val="20"/>
              </w:rPr>
            </w:pPr>
            <w:r>
              <w:rPr>
                <w:sz w:val="20"/>
                <w:szCs w:val="20"/>
              </w:rPr>
              <w:t>£19,979.49</w:t>
            </w:r>
          </w:p>
        </w:tc>
      </w:tr>
      <w:tr w:rsidR="00013B5B" w:rsidRPr="00013B5B" w14:paraId="1E8E1281" w14:textId="6188FAD5" w:rsidTr="2351F72B">
        <w:tc>
          <w:tcPr>
            <w:tcW w:w="2263" w:type="dxa"/>
          </w:tcPr>
          <w:p w14:paraId="73775631" w14:textId="77777777" w:rsidR="00013B5B" w:rsidRPr="00013B5B" w:rsidRDefault="00013B5B" w:rsidP="00013B5B">
            <w:pPr>
              <w:pStyle w:val="TableRow"/>
              <w:rPr>
                <w:sz w:val="20"/>
                <w:szCs w:val="20"/>
              </w:rPr>
            </w:pPr>
            <w:r w:rsidRPr="00013B5B">
              <w:rPr>
                <w:color w:val="0D0D0D" w:themeColor="text1" w:themeTint="F2"/>
                <w:sz w:val="20"/>
                <w:szCs w:val="20"/>
              </w:rPr>
              <w:t xml:space="preserve">Increased proportion of disadvantaged children to be working at the expected standard in all year groups in maths </w:t>
            </w:r>
          </w:p>
          <w:p w14:paraId="4B7EE423" w14:textId="7B97391F" w:rsidR="00013B5B" w:rsidRPr="00013B5B" w:rsidRDefault="00013B5B" w:rsidP="00013B5B">
            <w:pPr>
              <w:rPr>
                <w:sz w:val="20"/>
                <w:szCs w:val="20"/>
              </w:rPr>
            </w:pPr>
          </w:p>
        </w:tc>
        <w:tc>
          <w:tcPr>
            <w:tcW w:w="3695" w:type="dxa"/>
          </w:tcPr>
          <w:p w14:paraId="4432806C" w14:textId="77777777" w:rsidR="00013B5B" w:rsidRPr="00013B5B" w:rsidRDefault="00013B5B" w:rsidP="00013B5B">
            <w:pPr>
              <w:pStyle w:val="TableRowCentered"/>
              <w:spacing w:line="259" w:lineRule="auto"/>
              <w:jc w:val="left"/>
              <w:rPr>
                <w:sz w:val="20"/>
              </w:rPr>
            </w:pPr>
            <w:r w:rsidRPr="00013B5B">
              <w:rPr>
                <w:sz w:val="20"/>
              </w:rPr>
              <w:t>Attainment of children in maths will be closer to that of their non-disadvantaged peers. This will be measured and monitored termly. Progress for children with SEND will be monitored via their SEND profile</w:t>
            </w:r>
          </w:p>
          <w:p w14:paraId="5E02F578" w14:textId="77777777" w:rsidR="00013B5B" w:rsidRPr="00013B5B" w:rsidRDefault="00013B5B" w:rsidP="00013B5B">
            <w:pPr>
              <w:rPr>
                <w:sz w:val="20"/>
                <w:szCs w:val="20"/>
              </w:rPr>
            </w:pPr>
          </w:p>
        </w:tc>
        <w:tc>
          <w:tcPr>
            <w:tcW w:w="2893" w:type="dxa"/>
          </w:tcPr>
          <w:p w14:paraId="328FE5DF" w14:textId="64AB7927" w:rsidR="00013B5B" w:rsidRPr="00013B5B" w:rsidRDefault="00F231B8" w:rsidP="00F231B8">
            <w:pPr>
              <w:rPr>
                <w:sz w:val="20"/>
                <w:szCs w:val="20"/>
              </w:rPr>
            </w:pPr>
            <w:r>
              <w:rPr>
                <w:sz w:val="20"/>
                <w:szCs w:val="20"/>
              </w:rPr>
              <w:t xml:space="preserve">Whilst attainment of disadvantaged pupils is lower in maths than that of their non-disadvantaged peers, the progress of disadvantaged pupils between Summer 2022 and Summer 2023 is in line </w:t>
            </w:r>
            <w:r>
              <w:rPr>
                <w:sz w:val="20"/>
                <w:szCs w:val="20"/>
              </w:rPr>
              <w:lastRenderedPageBreak/>
              <w:t>with that of non-disadvantaged peers.</w:t>
            </w:r>
          </w:p>
        </w:tc>
        <w:tc>
          <w:tcPr>
            <w:tcW w:w="2999" w:type="dxa"/>
          </w:tcPr>
          <w:p w14:paraId="71339E87" w14:textId="77777777" w:rsidR="00F231B8" w:rsidRDefault="00F231B8" w:rsidP="00F231B8">
            <w:pPr>
              <w:rPr>
                <w:sz w:val="20"/>
                <w:szCs w:val="20"/>
              </w:rPr>
            </w:pPr>
            <w:r>
              <w:rPr>
                <w:sz w:val="20"/>
                <w:szCs w:val="20"/>
              </w:rPr>
              <w:lastRenderedPageBreak/>
              <w:t xml:space="preserve">Continue with early bird interventions and keep up sessions targeting disadvantaged children first </w:t>
            </w:r>
          </w:p>
          <w:p w14:paraId="5572575B" w14:textId="60A6D077" w:rsidR="00013B5B" w:rsidRPr="00013B5B" w:rsidRDefault="00F231B8" w:rsidP="00F231B8">
            <w:pPr>
              <w:rPr>
                <w:sz w:val="20"/>
                <w:szCs w:val="20"/>
              </w:rPr>
            </w:pPr>
            <w:r>
              <w:rPr>
                <w:sz w:val="20"/>
                <w:szCs w:val="20"/>
              </w:rPr>
              <w:t xml:space="preserve">Continue with key skills interventions addressing gaps in learning in maths </w:t>
            </w:r>
          </w:p>
        </w:tc>
        <w:tc>
          <w:tcPr>
            <w:tcW w:w="2710" w:type="dxa"/>
          </w:tcPr>
          <w:p w14:paraId="5F0BB663" w14:textId="58B1842F" w:rsidR="00013B5B" w:rsidRPr="00013B5B" w:rsidRDefault="003C78F6" w:rsidP="00013B5B">
            <w:pPr>
              <w:rPr>
                <w:sz w:val="20"/>
                <w:szCs w:val="20"/>
              </w:rPr>
            </w:pPr>
            <w:r>
              <w:rPr>
                <w:sz w:val="20"/>
                <w:szCs w:val="20"/>
              </w:rPr>
              <w:t>£19,979.49</w:t>
            </w:r>
          </w:p>
        </w:tc>
      </w:tr>
      <w:tr w:rsidR="00013B5B" w:rsidRPr="00013B5B" w14:paraId="69F35D9D" w14:textId="5F60DB37" w:rsidTr="2351F72B">
        <w:tc>
          <w:tcPr>
            <w:tcW w:w="2263" w:type="dxa"/>
          </w:tcPr>
          <w:p w14:paraId="4C838709" w14:textId="1AD5D005" w:rsidR="00013B5B" w:rsidRPr="00013B5B" w:rsidRDefault="00013B5B" w:rsidP="00013B5B">
            <w:pPr>
              <w:rPr>
                <w:sz w:val="20"/>
                <w:szCs w:val="20"/>
              </w:rPr>
            </w:pPr>
            <w:r w:rsidRPr="00013B5B">
              <w:rPr>
                <w:color w:val="0D0D0D" w:themeColor="text1" w:themeTint="F2"/>
                <w:sz w:val="20"/>
                <w:szCs w:val="20"/>
              </w:rPr>
              <w:t xml:space="preserve">To achieve and sustain improved wellbeing for all pupils in our school, particularly our disadvantaged pupils. </w:t>
            </w:r>
          </w:p>
        </w:tc>
        <w:tc>
          <w:tcPr>
            <w:tcW w:w="3695" w:type="dxa"/>
          </w:tcPr>
          <w:p w14:paraId="179A211E" w14:textId="77777777" w:rsidR="00013B5B" w:rsidRPr="00013B5B" w:rsidRDefault="00013B5B" w:rsidP="00013B5B">
            <w:pPr>
              <w:pStyle w:val="TableRowCentered"/>
              <w:jc w:val="left"/>
              <w:rPr>
                <w:sz w:val="20"/>
              </w:rPr>
            </w:pPr>
            <w:r w:rsidRPr="00013B5B">
              <w:rPr>
                <w:sz w:val="20"/>
              </w:rPr>
              <w:t xml:space="preserve">Robust systems are in place to identify and support children who have experienced trauma and monitored through supervision process as well as through pupil voice and teacher observations. Support is given to raise self-esteem and support children in managing their emotions. </w:t>
            </w:r>
          </w:p>
          <w:p w14:paraId="0EF53273" w14:textId="77777777" w:rsidR="00013B5B" w:rsidRPr="00013B5B" w:rsidRDefault="00013B5B" w:rsidP="00013B5B">
            <w:pPr>
              <w:pStyle w:val="TableRowCentered"/>
              <w:jc w:val="left"/>
              <w:rPr>
                <w:sz w:val="20"/>
              </w:rPr>
            </w:pPr>
            <w:r w:rsidRPr="00013B5B">
              <w:rPr>
                <w:sz w:val="20"/>
              </w:rPr>
              <w:t xml:space="preserve">Sustained high levels of wellbeing from 2022-25 demonstrated by: </w:t>
            </w:r>
          </w:p>
          <w:p w14:paraId="6F9D223E" w14:textId="77777777" w:rsidR="00013B5B" w:rsidRPr="00013B5B" w:rsidRDefault="00013B5B" w:rsidP="00013B5B">
            <w:pPr>
              <w:pStyle w:val="TableRowCentered"/>
              <w:numPr>
                <w:ilvl w:val="0"/>
                <w:numId w:val="1"/>
              </w:numPr>
              <w:jc w:val="left"/>
              <w:rPr>
                <w:sz w:val="20"/>
              </w:rPr>
            </w:pPr>
            <w:r w:rsidRPr="00013B5B">
              <w:rPr>
                <w:sz w:val="20"/>
              </w:rPr>
              <w:t xml:space="preserve">qualitative data from student voice, student and parent surveys and teacher observations. </w:t>
            </w:r>
          </w:p>
          <w:p w14:paraId="6CE04E24" w14:textId="7A3794C3" w:rsidR="00013B5B" w:rsidRPr="00013B5B" w:rsidRDefault="00013B5B" w:rsidP="00013B5B">
            <w:pPr>
              <w:rPr>
                <w:sz w:val="20"/>
                <w:szCs w:val="20"/>
              </w:rPr>
            </w:pPr>
            <w:r w:rsidRPr="00013B5B">
              <w:rPr>
                <w:sz w:val="20"/>
                <w:szCs w:val="20"/>
              </w:rPr>
              <w:t>an increase in participation in enrichment activities e.g. clubs, visits, particularly among disadvantaged pupils.</w:t>
            </w:r>
          </w:p>
        </w:tc>
        <w:tc>
          <w:tcPr>
            <w:tcW w:w="2893" w:type="dxa"/>
          </w:tcPr>
          <w:p w14:paraId="41FE7718" w14:textId="77777777" w:rsidR="00013B5B" w:rsidRDefault="00F231B8" w:rsidP="00013B5B">
            <w:pPr>
              <w:rPr>
                <w:sz w:val="20"/>
                <w:szCs w:val="20"/>
              </w:rPr>
            </w:pPr>
            <w:r>
              <w:rPr>
                <w:sz w:val="20"/>
                <w:szCs w:val="20"/>
              </w:rPr>
              <w:t xml:space="preserve">Financial subsidies enabled disadvantaged children in Year 6 to attend residential </w:t>
            </w:r>
          </w:p>
          <w:p w14:paraId="09C3A55F" w14:textId="77777777" w:rsidR="00F231B8" w:rsidRDefault="006A396B" w:rsidP="00013B5B">
            <w:pPr>
              <w:rPr>
                <w:sz w:val="20"/>
                <w:szCs w:val="20"/>
              </w:rPr>
            </w:pPr>
            <w:r>
              <w:rPr>
                <w:sz w:val="20"/>
                <w:szCs w:val="20"/>
              </w:rPr>
              <w:t xml:space="preserve">Year 5 disadvantaged children attended residential weekend </w:t>
            </w:r>
          </w:p>
          <w:p w14:paraId="4A1D343C" w14:textId="77777777" w:rsidR="006A396B" w:rsidRDefault="006A396B" w:rsidP="00013B5B">
            <w:pPr>
              <w:rPr>
                <w:sz w:val="20"/>
                <w:szCs w:val="20"/>
              </w:rPr>
            </w:pPr>
            <w:r>
              <w:rPr>
                <w:sz w:val="20"/>
                <w:szCs w:val="20"/>
              </w:rPr>
              <w:t xml:space="preserve">Funded music lessons </w:t>
            </w:r>
          </w:p>
          <w:p w14:paraId="4BFBAB21" w14:textId="7F8EE229" w:rsidR="006A396B" w:rsidRDefault="006A396B" w:rsidP="00013B5B">
            <w:pPr>
              <w:rPr>
                <w:sz w:val="20"/>
                <w:szCs w:val="20"/>
              </w:rPr>
            </w:pPr>
            <w:r>
              <w:rPr>
                <w:sz w:val="20"/>
                <w:szCs w:val="20"/>
              </w:rPr>
              <w:t>Enrichment club with Passion for Learning for Years 5 and 6</w:t>
            </w:r>
            <w:r w:rsidR="00881902">
              <w:rPr>
                <w:sz w:val="20"/>
                <w:szCs w:val="20"/>
              </w:rPr>
              <w:t xml:space="preserve"> included theatre visits, careers fair and visits to care homes </w:t>
            </w:r>
          </w:p>
          <w:p w14:paraId="3F5D0755" w14:textId="51D5AF49" w:rsidR="006A396B" w:rsidRDefault="006A396B" w:rsidP="00013B5B">
            <w:pPr>
              <w:rPr>
                <w:sz w:val="20"/>
                <w:szCs w:val="20"/>
              </w:rPr>
            </w:pPr>
            <w:r>
              <w:rPr>
                <w:sz w:val="20"/>
                <w:szCs w:val="20"/>
              </w:rPr>
              <w:t xml:space="preserve">Enrichment activities for targeted children with Passion for Learning </w:t>
            </w:r>
            <w:r w:rsidR="00881902">
              <w:rPr>
                <w:sz w:val="20"/>
                <w:szCs w:val="20"/>
              </w:rPr>
              <w:t xml:space="preserve">mentors </w:t>
            </w:r>
          </w:p>
          <w:p w14:paraId="1AB7EE76" w14:textId="77777777" w:rsidR="006A396B" w:rsidRDefault="006A396B" w:rsidP="006A396B">
            <w:pPr>
              <w:rPr>
                <w:sz w:val="20"/>
                <w:szCs w:val="20"/>
              </w:rPr>
            </w:pPr>
            <w:r>
              <w:rPr>
                <w:sz w:val="20"/>
                <w:szCs w:val="20"/>
              </w:rPr>
              <w:t>ELSA and DESTY interventions for children emotional and behavioural needs</w:t>
            </w:r>
          </w:p>
          <w:p w14:paraId="7422AE2A" w14:textId="7ED4E159" w:rsidR="006A396B" w:rsidRPr="00013B5B" w:rsidRDefault="006A396B" w:rsidP="006A396B">
            <w:pPr>
              <w:rPr>
                <w:sz w:val="20"/>
                <w:szCs w:val="20"/>
              </w:rPr>
            </w:pPr>
            <w:r>
              <w:rPr>
                <w:sz w:val="20"/>
                <w:szCs w:val="20"/>
              </w:rPr>
              <w:t xml:space="preserve">Post experience surveys with children show that they have gained from the experience and are able to reflect on the impact </w:t>
            </w:r>
          </w:p>
        </w:tc>
        <w:tc>
          <w:tcPr>
            <w:tcW w:w="2999" w:type="dxa"/>
          </w:tcPr>
          <w:p w14:paraId="3421BB0F" w14:textId="180A001C" w:rsidR="00013B5B" w:rsidRDefault="00881902" w:rsidP="00013B5B">
            <w:pPr>
              <w:rPr>
                <w:sz w:val="20"/>
                <w:szCs w:val="20"/>
              </w:rPr>
            </w:pPr>
            <w:r>
              <w:rPr>
                <w:sz w:val="20"/>
                <w:szCs w:val="20"/>
              </w:rPr>
              <w:t xml:space="preserve">Continue with enrichment club but reduce to one group this year </w:t>
            </w:r>
          </w:p>
          <w:p w14:paraId="05F5BFF1" w14:textId="77777777" w:rsidR="00881902" w:rsidRDefault="00881902" w:rsidP="00013B5B">
            <w:pPr>
              <w:rPr>
                <w:sz w:val="20"/>
                <w:szCs w:val="20"/>
              </w:rPr>
            </w:pPr>
            <w:r>
              <w:rPr>
                <w:sz w:val="20"/>
                <w:szCs w:val="20"/>
              </w:rPr>
              <w:t xml:space="preserve">Continue with enrichment club mentors. </w:t>
            </w:r>
          </w:p>
          <w:p w14:paraId="0BCD4A4F" w14:textId="3896F48D" w:rsidR="00881902" w:rsidRDefault="00881902" w:rsidP="00013B5B">
            <w:pPr>
              <w:rPr>
                <w:sz w:val="20"/>
                <w:szCs w:val="20"/>
              </w:rPr>
            </w:pPr>
            <w:r>
              <w:rPr>
                <w:sz w:val="20"/>
                <w:szCs w:val="20"/>
              </w:rPr>
              <w:br/>
              <w:t xml:space="preserve">ELSA and DESTY sessions for targeted children  </w:t>
            </w:r>
          </w:p>
          <w:p w14:paraId="71808175" w14:textId="4B475D26" w:rsidR="00881902" w:rsidRPr="00013B5B" w:rsidRDefault="00881902" w:rsidP="00013B5B">
            <w:pPr>
              <w:rPr>
                <w:sz w:val="20"/>
                <w:szCs w:val="20"/>
              </w:rPr>
            </w:pPr>
          </w:p>
        </w:tc>
        <w:tc>
          <w:tcPr>
            <w:tcW w:w="2710" w:type="dxa"/>
          </w:tcPr>
          <w:p w14:paraId="21C6B25C" w14:textId="0C3EF033" w:rsidR="00013B5B" w:rsidRPr="00013B5B" w:rsidRDefault="00B4003E" w:rsidP="00013B5B">
            <w:pPr>
              <w:rPr>
                <w:sz w:val="20"/>
                <w:szCs w:val="20"/>
              </w:rPr>
            </w:pPr>
            <w:r>
              <w:rPr>
                <w:sz w:val="20"/>
                <w:szCs w:val="20"/>
              </w:rPr>
              <w:t>£68,634.34</w:t>
            </w:r>
          </w:p>
        </w:tc>
      </w:tr>
      <w:tr w:rsidR="00013B5B" w:rsidRPr="00013B5B" w14:paraId="71B09233" w14:textId="5EB5440B" w:rsidTr="2351F72B">
        <w:tc>
          <w:tcPr>
            <w:tcW w:w="2263" w:type="dxa"/>
          </w:tcPr>
          <w:p w14:paraId="3AAB30CB" w14:textId="2857DA05" w:rsidR="00013B5B" w:rsidRPr="00013B5B" w:rsidRDefault="00013B5B" w:rsidP="00013B5B">
            <w:pPr>
              <w:rPr>
                <w:sz w:val="20"/>
                <w:szCs w:val="20"/>
              </w:rPr>
            </w:pPr>
            <w:r w:rsidRPr="00013B5B">
              <w:rPr>
                <w:sz w:val="20"/>
                <w:szCs w:val="20"/>
              </w:rPr>
              <w:lastRenderedPageBreak/>
              <w:t xml:space="preserve">Attendance for our disadvantaged children to be in line with national and non-disadvantaged peers in school </w:t>
            </w:r>
          </w:p>
        </w:tc>
        <w:tc>
          <w:tcPr>
            <w:tcW w:w="3695" w:type="dxa"/>
          </w:tcPr>
          <w:p w14:paraId="4D53BBB2" w14:textId="77777777" w:rsidR="00013B5B" w:rsidRPr="00013B5B" w:rsidRDefault="00013B5B" w:rsidP="00013B5B">
            <w:pPr>
              <w:pStyle w:val="TableRowCentered"/>
              <w:jc w:val="left"/>
              <w:rPr>
                <w:sz w:val="20"/>
              </w:rPr>
            </w:pPr>
            <w:r w:rsidRPr="00013B5B">
              <w:rPr>
                <w:sz w:val="20"/>
              </w:rPr>
              <w:t xml:space="preserve">Individual disadvantaged pupils having an attendance of 96% or above </w:t>
            </w:r>
          </w:p>
          <w:p w14:paraId="20547940" w14:textId="77777777" w:rsidR="00013B5B" w:rsidRPr="00013B5B" w:rsidRDefault="00013B5B" w:rsidP="00013B5B">
            <w:pPr>
              <w:pStyle w:val="TableRowCentered"/>
              <w:jc w:val="left"/>
              <w:rPr>
                <w:sz w:val="20"/>
              </w:rPr>
            </w:pPr>
            <w:r w:rsidRPr="00013B5B">
              <w:rPr>
                <w:sz w:val="20"/>
              </w:rPr>
              <w:t>Lateness for disadvantaged pupils minimised through effective tracking and parental engagement.</w:t>
            </w:r>
          </w:p>
          <w:p w14:paraId="547BA1E1" w14:textId="63BC6111" w:rsidR="00013B5B" w:rsidRPr="00013B5B" w:rsidRDefault="00013B5B" w:rsidP="00013B5B">
            <w:pPr>
              <w:rPr>
                <w:sz w:val="20"/>
                <w:szCs w:val="20"/>
              </w:rPr>
            </w:pPr>
            <w:r w:rsidRPr="00013B5B">
              <w:rPr>
                <w:sz w:val="20"/>
                <w:szCs w:val="20"/>
              </w:rPr>
              <w:t xml:space="preserve">This will be tracked via school absence reporting procedures. </w:t>
            </w:r>
          </w:p>
        </w:tc>
        <w:tc>
          <w:tcPr>
            <w:tcW w:w="2893" w:type="dxa"/>
          </w:tcPr>
          <w:p w14:paraId="25FE0F2E" w14:textId="769CBBF3" w:rsidR="00013B5B" w:rsidRPr="006A396B" w:rsidRDefault="5C73A8F1" w:rsidP="3AAC9B19">
            <w:pPr>
              <w:rPr>
                <w:sz w:val="20"/>
                <w:szCs w:val="20"/>
              </w:rPr>
            </w:pPr>
            <w:r w:rsidRPr="3AAC9B19">
              <w:rPr>
                <w:sz w:val="20"/>
                <w:szCs w:val="20"/>
              </w:rPr>
              <w:t>Work done by attendance officer has embedded systems for monitoring attendance and managing non-attendance including attendance rewards for good attendance. Working with f</w:t>
            </w:r>
            <w:r w:rsidR="080F9DE7" w:rsidRPr="3AAC9B19">
              <w:rPr>
                <w:sz w:val="20"/>
                <w:szCs w:val="20"/>
              </w:rPr>
              <w:t>amilies of persistent absentees has seen a reduction from 15% in 2021-2022 to 6</w:t>
            </w:r>
            <w:r w:rsidR="0EE3ED88" w:rsidRPr="3AAC9B19">
              <w:rPr>
                <w:sz w:val="20"/>
                <w:szCs w:val="20"/>
              </w:rPr>
              <w:t>% in 2022-2023 and a reduction in persistent absentees from 31% of disadvantaged children to 16%.</w:t>
            </w:r>
          </w:p>
        </w:tc>
        <w:tc>
          <w:tcPr>
            <w:tcW w:w="2999" w:type="dxa"/>
          </w:tcPr>
          <w:p w14:paraId="1E991468" w14:textId="413232E9" w:rsidR="00013B5B" w:rsidRPr="00013B5B" w:rsidRDefault="0EE3ED88" w:rsidP="00013B5B">
            <w:pPr>
              <w:rPr>
                <w:sz w:val="20"/>
                <w:szCs w:val="20"/>
              </w:rPr>
            </w:pPr>
            <w:r w:rsidRPr="3AAC9B19">
              <w:rPr>
                <w:sz w:val="20"/>
                <w:szCs w:val="20"/>
              </w:rPr>
              <w:t xml:space="preserve">Continue with work started to address non-attendance </w:t>
            </w:r>
          </w:p>
        </w:tc>
        <w:tc>
          <w:tcPr>
            <w:tcW w:w="2710" w:type="dxa"/>
          </w:tcPr>
          <w:p w14:paraId="6B0044EB" w14:textId="6BFDF6B3" w:rsidR="00013B5B" w:rsidRPr="00013B5B" w:rsidRDefault="00B4003E" w:rsidP="00013B5B">
            <w:pPr>
              <w:rPr>
                <w:sz w:val="20"/>
                <w:szCs w:val="20"/>
              </w:rPr>
            </w:pPr>
            <w:r>
              <w:rPr>
                <w:sz w:val="20"/>
                <w:szCs w:val="20"/>
              </w:rPr>
              <w:t>£20,754.05</w:t>
            </w:r>
          </w:p>
        </w:tc>
      </w:tr>
      <w:tr w:rsidR="00013B5B" w:rsidRPr="00013B5B" w14:paraId="702F1FE7" w14:textId="0460CCEF" w:rsidTr="2351F72B">
        <w:tc>
          <w:tcPr>
            <w:tcW w:w="2263" w:type="dxa"/>
          </w:tcPr>
          <w:p w14:paraId="28721F78" w14:textId="7DDAF941" w:rsidR="00013B5B" w:rsidRPr="00013B5B" w:rsidRDefault="00013B5B" w:rsidP="00013B5B">
            <w:pPr>
              <w:rPr>
                <w:sz w:val="20"/>
                <w:szCs w:val="20"/>
              </w:rPr>
            </w:pPr>
            <w:r w:rsidRPr="00013B5B">
              <w:rPr>
                <w:sz w:val="20"/>
                <w:szCs w:val="20"/>
              </w:rPr>
              <w:t>Children identified as having SEND to fulfil their potential through accessing appropriate specialist support</w:t>
            </w:r>
          </w:p>
        </w:tc>
        <w:tc>
          <w:tcPr>
            <w:tcW w:w="3695" w:type="dxa"/>
          </w:tcPr>
          <w:p w14:paraId="3D2DFBA9" w14:textId="54993477" w:rsidR="00013B5B" w:rsidRPr="00013B5B" w:rsidRDefault="00013B5B" w:rsidP="00013B5B">
            <w:pPr>
              <w:rPr>
                <w:sz w:val="20"/>
                <w:szCs w:val="20"/>
              </w:rPr>
            </w:pPr>
            <w:r w:rsidRPr="00013B5B">
              <w:rPr>
                <w:sz w:val="20"/>
                <w:szCs w:val="20"/>
              </w:rPr>
              <w:t xml:space="preserve">Children with Speech and Language difficulties or with dyslexic traits to access specialist support and achieve their targets as demonstrated on their pupil profiles. </w:t>
            </w:r>
          </w:p>
        </w:tc>
        <w:tc>
          <w:tcPr>
            <w:tcW w:w="2893" w:type="dxa"/>
          </w:tcPr>
          <w:p w14:paraId="1B244901" w14:textId="52C88D6E" w:rsidR="00013B5B" w:rsidRPr="006A396B" w:rsidRDefault="31FFE0F9" w:rsidP="2351F72B">
            <w:r w:rsidRPr="2351F72B">
              <w:rPr>
                <w:rFonts w:eastAsia="Arial" w:cs="Arial"/>
                <w:color w:val="0D0D0D" w:themeColor="text1" w:themeTint="F2"/>
                <w:sz w:val="20"/>
                <w:szCs w:val="20"/>
              </w:rPr>
              <w:t xml:space="preserve">During the academic year 2022-2023 specialist Dyslexia teacher provided provision throughout the Easter holidays and also the summer holidays. This ensured that children could keep up their learning momentum during breaks from school. All children that worked with specialist teacher made a good level or progress from their starting points. This was measured through standardised tests such as the York Assessment of Reading Comprehension (YARC) and Single Word </w:t>
            </w:r>
            <w:r w:rsidRPr="2351F72B">
              <w:rPr>
                <w:rFonts w:eastAsia="Arial" w:cs="Arial"/>
                <w:color w:val="0D0D0D" w:themeColor="text1" w:themeTint="F2"/>
                <w:sz w:val="20"/>
                <w:szCs w:val="20"/>
              </w:rPr>
              <w:lastRenderedPageBreak/>
              <w:t xml:space="preserve">Spelling Assessment (SWST). The specialist teacher was also able to identify visual stress barriers for children and therefore specialist reading rulers and tinted paper were purchased to support with those difficulties. </w:t>
            </w:r>
          </w:p>
          <w:p w14:paraId="281C5DA9" w14:textId="581FEBAB" w:rsidR="00013B5B" w:rsidRPr="006A396B" w:rsidRDefault="31FFE0F9" w:rsidP="2351F72B">
            <w:r w:rsidRPr="2351F72B">
              <w:rPr>
                <w:rFonts w:eastAsia="Arial" w:cs="Arial"/>
                <w:color w:val="0D0D0D" w:themeColor="text1" w:themeTint="F2"/>
                <w:sz w:val="20"/>
                <w:szCs w:val="20"/>
              </w:rPr>
              <w:t>Our Speech and Language Therapist (SALT) has been essential in closing the gap for those children on a 12 month waiting list for speech and language therapy through CWP. She is able to access resources and support children who would usually have to wait for this intervention. The impact of this is measured on an individual basis and all children, once receiving support and assessment from SALT from CWP have made leaps in progress. This in turn has an impact upon attainment figured for those children.</w:t>
            </w:r>
          </w:p>
        </w:tc>
        <w:tc>
          <w:tcPr>
            <w:tcW w:w="2999" w:type="dxa"/>
          </w:tcPr>
          <w:p w14:paraId="15BACA7F" w14:textId="26712981" w:rsidR="00013B5B" w:rsidRPr="00013B5B" w:rsidRDefault="31FFE0F9" w:rsidP="2351F72B">
            <w:r w:rsidRPr="2351F72B">
              <w:rPr>
                <w:rFonts w:eastAsia="Arial" w:cs="Arial"/>
                <w:color w:val="0D0D0D" w:themeColor="text1" w:themeTint="F2"/>
                <w:sz w:val="20"/>
                <w:szCs w:val="20"/>
              </w:rPr>
              <w:lastRenderedPageBreak/>
              <w:t xml:space="preserve">Dyslexia support is needed across school. Specialist teaching has a positive impact for individual children who need it. </w:t>
            </w:r>
          </w:p>
          <w:p w14:paraId="5DA13147" w14:textId="1AABCE82" w:rsidR="00013B5B" w:rsidRPr="00013B5B" w:rsidRDefault="31FFE0F9" w:rsidP="2351F72B">
            <w:r w:rsidRPr="2351F72B">
              <w:rPr>
                <w:rFonts w:eastAsia="Arial" w:cs="Arial"/>
                <w:color w:val="0D0D0D" w:themeColor="text1" w:themeTint="F2"/>
                <w:sz w:val="20"/>
                <w:szCs w:val="20"/>
              </w:rPr>
              <w:t xml:space="preserve">Summer tuition helps to narrow the gap in attainment for these children with their peers. </w:t>
            </w:r>
          </w:p>
          <w:p w14:paraId="6341D902" w14:textId="384997CA" w:rsidR="00013B5B" w:rsidRPr="00013B5B" w:rsidRDefault="31FFE0F9" w:rsidP="2351F72B">
            <w:r w:rsidRPr="2351F72B">
              <w:rPr>
                <w:rFonts w:eastAsia="Arial" w:cs="Arial"/>
                <w:color w:val="0D0D0D" w:themeColor="text1" w:themeTint="F2"/>
                <w:sz w:val="20"/>
                <w:szCs w:val="20"/>
              </w:rPr>
              <w:t xml:space="preserve">Having SALT therapy closes the service gap so children who desperately need access to it are not having to wait up to 12/18 months which would impact them negatively. The demand for this has increased with the children entering </w:t>
            </w:r>
            <w:r w:rsidRPr="2351F72B">
              <w:rPr>
                <w:rFonts w:eastAsia="Arial" w:cs="Arial"/>
                <w:color w:val="0D0D0D" w:themeColor="text1" w:themeTint="F2"/>
                <w:sz w:val="20"/>
                <w:szCs w:val="20"/>
              </w:rPr>
              <w:lastRenderedPageBreak/>
              <w:t>Reception in September 2023 are children who have had delayed referrals due to the COVID pandemic.</w:t>
            </w:r>
          </w:p>
        </w:tc>
        <w:tc>
          <w:tcPr>
            <w:tcW w:w="2710" w:type="dxa"/>
          </w:tcPr>
          <w:p w14:paraId="10A28D1F" w14:textId="02919A8D" w:rsidR="00013B5B" w:rsidRPr="00013B5B" w:rsidRDefault="00B4003E" w:rsidP="00013B5B">
            <w:pPr>
              <w:rPr>
                <w:sz w:val="20"/>
                <w:szCs w:val="20"/>
              </w:rPr>
            </w:pPr>
            <w:r>
              <w:rPr>
                <w:sz w:val="20"/>
                <w:szCs w:val="20"/>
              </w:rPr>
              <w:lastRenderedPageBreak/>
              <w:t>£9,167.50</w:t>
            </w:r>
          </w:p>
        </w:tc>
      </w:tr>
      <w:bookmarkEnd w:id="14"/>
      <w:bookmarkEnd w:id="15"/>
      <w:bookmarkEnd w:id="16"/>
    </w:tbl>
    <w:p w14:paraId="15C108F8" w14:textId="77777777" w:rsidR="006D6850" w:rsidRPr="006D6850" w:rsidRDefault="006D6850" w:rsidP="006D6850"/>
    <w:sectPr w:rsidR="006D6850" w:rsidRPr="006D6850" w:rsidSect="00833315">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9055B" w14:textId="77777777" w:rsidR="00D30E86" w:rsidRDefault="00D30E86">
      <w:pPr>
        <w:spacing w:after="0" w:line="240" w:lineRule="auto"/>
      </w:pPr>
      <w:r>
        <w:separator/>
      </w:r>
    </w:p>
  </w:endnote>
  <w:endnote w:type="continuationSeparator" w:id="0">
    <w:p w14:paraId="2E9A9107" w14:textId="77777777" w:rsidR="00D30E86" w:rsidRDefault="00D30E86">
      <w:pPr>
        <w:spacing w:after="0" w:line="240" w:lineRule="auto"/>
      </w:pPr>
      <w:r>
        <w:continuationSeparator/>
      </w:r>
    </w:p>
  </w:endnote>
  <w:endnote w:type="continuationNotice" w:id="1">
    <w:p w14:paraId="60FD1C0F" w14:textId="77777777" w:rsidR="00D30E86" w:rsidRDefault="00D30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73D9C3E" w:rsidR="00C373EA" w:rsidRDefault="009D71E8">
    <w:pPr>
      <w:pStyle w:val="Footer"/>
      <w:ind w:firstLine="4513"/>
    </w:pPr>
    <w:r>
      <w:fldChar w:fldCharType="begin"/>
    </w:r>
    <w:r>
      <w:instrText xml:space="preserve"> PAGE </w:instrText>
    </w:r>
    <w:r>
      <w:fldChar w:fldCharType="separate"/>
    </w:r>
    <w:r w:rsidR="00257D37">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2E954" w14:textId="77777777" w:rsidR="00D30E86" w:rsidRDefault="00D30E86">
      <w:pPr>
        <w:spacing w:after="0" w:line="240" w:lineRule="auto"/>
      </w:pPr>
      <w:r>
        <w:separator/>
      </w:r>
    </w:p>
  </w:footnote>
  <w:footnote w:type="continuationSeparator" w:id="0">
    <w:p w14:paraId="781B2D94" w14:textId="77777777" w:rsidR="00D30E86" w:rsidRDefault="00D30E86">
      <w:pPr>
        <w:spacing w:after="0" w:line="240" w:lineRule="auto"/>
      </w:pPr>
      <w:r>
        <w:continuationSeparator/>
      </w:r>
    </w:p>
  </w:footnote>
  <w:footnote w:type="continuationNotice" w:id="1">
    <w:p w14:paraId="217B7B27" w14:textId="77777777" w:rsidR="00D30E86" w:rsidRDefault="00D30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1866"/>
    <w:multiLevelType w:val="hybridMultilevel"/>
    <w:tmpl w:val="F35CD0F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D9773D"/>
    <w:multiLevelType w:val="hybridMultilevel"/>
    <w:tmpl w:val="5096F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4FD30AC"/>
    <w:multiLevelType w:val="hybridMultilevel"/>
    <w:tmpl w:val="F31C1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160F2"/>
    <w:multiLevelType w:val="hybridMultilevel"/>
    <w:tmpl w:val="A60E14F2"/>
    <w:lvl w:ilvl="0" w:tplc="72DCE3BC">
      <w:start w:val="1"/>
      <w:numFmt w:val="bullet"/>
      <w:pStyle w:val="TSB-PolicyBullets"/>
      <w:lvlText w:val=""/>
      <w:lvlJc w:val="left"/>
      <w:pPr>
        <w:ind w:left="720" w:hanging="360"/>
      </w:pPr>
      <w:rPr>
        <w:rFonts w:ascii="Symbol" w:hAnsi="Symbol" w:hint="default"/>
      </w:rPr>
    </w:lvl>
    <w:lvl w:ilvl="1" w:tplc="08090003" w:tentative="1">
      <w:start w:val="1"/>
      <w:numFmt w:val="bullet"/>
      <w:pStyle w:val="Style2"/>
      <w:lvlText w:val="o"/>
      <w:lvlJc w:val="left"/>
      <w:pPr>
        <w:ind w:left="1440" w:hanging="360"/>
      </w:pPr>
      <w:rPr>
        <w:rFonts w:ascii="Courier New" w:hAnsi="Courier New" w:cs="Courier New" w:hint="default"/>
      </w:rPr>
    </w:lvl>
    <w:lvl w:ilvl="2" w:tplc="08090005" w:tentative="1">
      <w:start w:val="1"/>
      <w:numFmt w:val="bullet"/>
      <w:pStyle w:val="PolicyLevel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D4D22C7"/>
    <w:multiLevelType w:val="hybridMultilevel"/>
    <w:tmpl w:val="D062BF0A"/>
    <w:lvl w:ilvl="0" w:tplc="0809000F">
      <w:start w:val="1"/>
      <w:numFmt w:val="decimal"/>
      <w:pStyle w:val="TSB-Level1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A730CA2"/>
    <w:multiLevelType w:val="hybridMultilevel"/>
    <w:tmpl w:val="4DB22D7A"/>
    <w:lvl w:ilvl="0" w:tplc="263644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B28B0"/>
    <w:multiLevelType w:val="hybridMultilevel"/>
    <w:tmpl w:val="245A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50A3531D"/>
    <w:multiLevelType w:val="multilevel"/>
    <w:tmpl w:val="949CA516"/>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D311F6"/>
    <w:multiLevelType w:val="hybridMultilevel"/>
    <w:tmpl w:val="F31C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E3BA74"/>
    <w:multiLevelType w:val="hybridMultilevel"/>
    <w:tmpl w:val="02583EFC"/>
    <w:lvl w:ilvl="0" w:tplc="A74CC268">
      <w:start w:val="1"/>
      <w:numFmt w:val="bullet"/>
      <w:lvlText w:val=""/>
      <w:lvlJc w:val="left"/>
      <w:pPr>
        <w:ind w:left="720" w:hanging="360"/>
      </w:pPr>
      <w:rPr>
        <w:rFonts w:ascii="Symbol" w:hAnsi="Symbol" w:hint="default"/>
      </w:rPr>
    </w:lvl>
    <w:lvl w:ilvl="1" w:tplc="C1C2E51C">
      <w:start w:val="1"/>
      <w:numFmt w:val="bullet"/>
      <w:lvlText w:val="o"/>
      <w:lvlJc w:val="left"/>
      <w:pPr>
        <w:ind w:left="1440" w:hanging="360"/>
      </w:pPr>
      <w:rPr>
        <w:rFonts w:ascii="Courier New" w:hAnsi="Courier New" w:hint="default"/>
      </w:rPr>
    </w:lvl>
    <w:lvl w:ilvl="2" w:tplc="2822F356">
      <w:start w:val="1"/>
      <w:numFmt w:val="bullet"/>
      <w:lvlText w:val=""/>
      <w:lvlJc w:val="left"/>
      <w:pPr>
        <w:ind w:left="2160" w:hanging="360"/>
      </w:pPr>
      <w:rPr>
        <w:rFonts w:ascii="Wingdings" w:hAnsi="Wingdings" w:hint="default"/>
      </w:rPr>
    </w:lvl>
    <w:lvl w:ilvl="3" w:tplc="DFEABC48">
      <w:start w:val="1"/>
      <w:numFmt w:val="bullet"/>
      <w:lvlText w:val=""/>
      <w:lvlJc w:val="left"/>
      <w:pPr>
        <w:ind w:left="2880" w:hanging="360"/>
      </w:pPr>
      <w:rPr>
        <w:rFonts w:ascii="Symbol" w:hAnsi="Symbol" w:hint="default"/>
      </w:rPr>
    </w:lvl>
    <w:lvl w:ilvl="4" w:tplc="CA362940">
      <w:start w:val="1"/>
      <w:numFmt w:val="bullet"/>
      <w:lvlText w:val="o"/>
      <w:lvlJc w:val="left"/>
      <w:pPr>
        <w:ind w:left="3600" w:hanging="360"/>
      </w:pPr>
      <w:rPr>
        <w:rFonts w:ascii="Courier New" w:hAnsi="Courier New" w:hint="default"/>
      </w:rPr>
    </w:lvl>
    <w:lvl w:ilvl="5" w:tplc="CFB0155A">
      <w:start w:val="1"/>
      <w:numFmt w:val="bullet"/>
      <w:lvlText w:val=""/>
      <w:lvlJc w:val="left"/>
      <w:pPr>
        <w:ind w:left="4320" w:hanging="360"/>
      </w:pPr>
      <w:rPr>
        <w:rFonts w:ascii="Wingdings" w:hAnsi="Wingdings" w:hint="default"/>
      </w:rPr>
    </w:lvl>
    <w:lvl w:ilvl="6" w:tplc="7CBEE4E4">
      <w:start w:val="1"/>
      <w:numFmt w:val="bullet"/>
      <w:lvlText w:val=""/>
      <w:lvlJc w:val="left"/>
      <w:pPr>
        <w:ind w:left="5040" w:hanging="360"/>
      </w:pPr>
      <w:rPr>
        <w:rFonts w:ascii="Symbol" w:hAnsi="Symbol" w:hint="default"/>
      </w:rPr>
    </w:lvl>
    <w:lvl w:ilvl="7" w:tplc="936C3AE6">
      <w:start w:val="1"/>
      <w:numFmt w:val="bullet"/>
      <w:lvlText w:val="o"/>
      <w:lvlJc w:val="left"/>
      <w:pPr>
        <w:ind w:left="5760" w:hanging="360"/>
      </w:pPr>
      <w:rPr>
        <w:rFonts w:ascii="Courier New" w:hAnsi="Courier New" w:hint="default"/>
      </w:rPr>
    </w:lvl>
    <w:lvl w:ilvl="8" w:tplc="E3247448">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9B465496"/>
    <w:lvl w:ilvl="0" w:tplc="45D2E994">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E115F3"/>
    <w:multiLevelType w:val="multilevel"/>
    <w:tmpl w:val="63AE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50C3B"/>
    <w:multiLevelType w:val="hybridMultilevel"/>
    <w:tmpl w:val="F31C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1B15AD"/>
    <w:multiLevelType w:val="hybridMultilevel"/>
    <w:tmpl w:val="760C2338"/>
    <w:lvl w:ilvl="0" w:tplc="9CB44808">
      <w:start w:val="1"/>
      <w:numFmt w:val="bullet"/>
      <w:lvlText w:val=""/>
      <w:lvlJc w:val="left"/>
      <w:pPr>
        <w:ind w:left="2143" w:hanging="360"/>
      </w:pPr>
      <w:rPr>
        <w:rFonts w:ascii="Symbol" w:hAnsi="Symbol" w:hint="default"/>
        <w:color w:val="1F497D"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D3622"/>
    <w:multiLevelType w:val="hybridMultilevel"/>
    <w:tmpl w:val="0C5A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67B113A"/>
    <w:multiLevelType w:val="hybridMultilevel"/>
    <w:tmpl w:val="FF6ECB8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1"/>
  </w:num>
  <w:num w:numId="2">
    <w:abstractNumId w:val="10"/>
  </w:num>
  <w:num w:numId="3">
    <w:abstractNumId w:val="5"/>
  </w:num>
  <w:num w:numId="4">
    <w:abstractNumId w:val="11"/>
  </w:num>
  <w:num w:numId="5">
    <w:abstractNumId w:val="13"/>
  </w:num>
  <w:num w:numId="6">
    <w:abstractNumId w:val="4"/>
  </w:num>
  <w:num w:numId="7">
    <w:abstractNumId w:val="16"/>
  </w:num>
  <w:num w:numId="8">
    <w:abstractNumId w:val="27"/>
  </w:num>
  <w:num w:numId="9">
    <w:abstractNumId w:val="33"/>
  </w:num>
  <w:num w:numId="10">
    <w:abstractNumId w:val="31"/>
  </w:num>
  <w:num w:numId="11">
    <w:abstractNumId w:val="28"/>
  </w:num>
  <w:num w:numId="12">
    <w:abstractNumId w:val="7"/>
  </w:num>
  <w:num w:numId="13">
    <w:abstractNumId w:val="32"/>
  </w:num>
  <w:num w:numId="14">
    <w:abstractNumId w:val="26"/>
  </w:num>
  <w:num w:numId="15">
    <w:abstractNumId w:val="23"/>
  </w:num>
  <w:num w:numId="16">
    <w:abstractNumId w:val="18"/>
  </w:num>
  <w:num w:numId="17">
    <w:abstractNumId w:val="1"/>
  </w:num>
  <w:num w:numId="18">
    <w:abstractNumId w:val="19"/>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rPr>
          <w:rFonts w:ascii="Arial" w:hAnsi="Arial" w:cs="Arial" w:hint="default"/>
          <w:b/>
          <w:sz w:val="22"/>
        </w:rPr>
      </w:lvl>
    </w:lvlOverride>
  </w:num>
  <w:num w:numId="19">
    <w:abstractNumId w:val="19"/>
  </w:num>
  <w:num w:numId="20">
    <w:abstractNumId w:val="0"/>
  </w:num>
  <w:num w:numId="21">
    <w:abstractNumId w:val="22"/>
  </w:num>
  <w:num w:numId="22">
    <w:abstractNumId w:val="12"/>
  </w:num>
  <w:num w:numId="23">
    <w:abstractNumId w:val="2"/>
  </w:num>
  <w:num w:numId="24">
    <w:abstractNumId w:val="15"/>
  </w:num>
  <w:num w:numId="25">
    <w:abstractNumId w:val="29"/>
  </w:num>
  <w:num w:numId="26">
    <w:abstractNumId w:val="34"/>
  </w:num>
  <w:num w:numId="27">
    <w:abstractNumId w:val="6"/>
  </w:num>
  <w:num w:numId="28">
    <w:abstractNumId w:val="8"/>
  </w:num>
  <w:num w:numId="29">
    <w:abstractNumId w:val="24"/>
  </w:num>
  <w:num w:numId="30">
    <w:abstractNumId w:val="20"/>
  </w:num>
  <w:num w:numId="31">
    <w:abstractNumId w:val="25"/>
  </w:num>
  <w:num w:numId="32">
    <w:abstractNumId w:val="30"/>
  </w:num>
  <w:num w:numId="33">
    <w:abstractNumId w:val="14"/>
  </w:num>
  <w:num w:numId="34">
    <w:abstractNumId w:val="3"/>
  </w:num>
  <w:num w:numId="35">
    <w:abstractNumId w:val="1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17"/>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13B5B"/>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A64DB"/>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57D37"/>
    <w:rsid w:val="00266FA5"/>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96C4D"/>
    <w:rsid w:val="003A32B2"/>
    <w:rsid w:val="003A47DD"/>
    <w:rsid w:val="003A634F"/>
    <w:rsid w:val="003B588A"/>
    <w:rsid w:val="003B621D"/>
    <w:rsid w:val="003C4388"/>
    <w:rsid w:val="003C4C27"/>
    <w:rsid w:val="003C78F6"/>
    <w:rsid w:val="003C7F7B"/>
    <w:rsid w:val="003D2EAA"/>
    <w:rsid w:val="003E054C"/>
    <w:rsid w:val="003E27A0"/>
    <w:rsid w:val="003E3872"/>
    <w:rsid w:val="004044AA"/>
    <w:rsid w:val="004044C8"/>
    <w:rsid w:val="00404F3F"/>
    <w:rsid w:val="0041070E"/>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1D73"/>
    <w:rsid w:val="0051286E"/>
    <w:rsid w:val="00515223"/>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77763"/>
    <w:rsid w:val="00681416"/>
    <w:rsid w:val="006A06F5"/>
    <w:rsid w:val="006A0ED2"/>
    <w:rsid w:val="006A396B"/>
    <w:rsid w:val="006B0A73"/>
    <w:rsid w:val="006B3D8F"/>
    <w:rsid w:val="006B5A6B"/>
    <w:rsid w:val="006C0F82"/>
    <w:rsid w:val="006C332E"/>
    <w:rsid w:val="006C5901"/>
    <w:rsid w:val="006D6372"/>
    <w:rsid w:val="006D6850"/>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13E7E"/>
    <w:rsid w:val="00817E9A"/>
    <w:rsid w:val="00830D57"/>
    <w:rsid w:val="00833315"/>
    <w:rsid w:val="00860B07"/>
    <w:rsid w:val="00861345"/>
    <w:rsid w:val="008616F6"/>
    <w:rsid w:val="0086259C"/>
    <w:rsid w:val="00881902"/>
    <w:rsid w:val="00883F24"/>
    <w:rsid w:val="00897E1F"/>
    <w:rsid w:val="008B2CB4"/>
    <w:rsid w:val="008B6404"/>
    <w:rsid w:val="008C2C21"/>
    <w:rsid w:val="008C7DD3"/>
    <w:rsid w:val="008E000B"/>
    <w:rsid w:val="008E0E7F"/>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168C"/>
    <w:rsid w:val="00AB24FA"/>
    <w:rsid w:val="00AB5D11"/>
    <w:rsid w:val="00AD7B5A"/>
    <w:rsid w:val="00AE229F"/>
    <w:rsid w:val="00AF5E20"/>
    <w:rsid w:val="00B002FA"/>
    <w:rsid w:val="00B00327"/>
    <w:rsid w:val="00B024B3"/>
    <w:rsid w:val="00B11DE8"/>
    <w:rsid w:val="00B179ED"/>
    <w:rsid w:val="00B20E18"/>
    <w:rsid w:val="00B4003E"/>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78BA"/>
    <w:rsid w:val="00D30E86"/>
    <w:rsid w:val="00D33FE5"/>
    <w:rsid w:val="00D3578A"/>
    <w:rsid w:val="00D4463C"/>
    <w:rsid w:val="00D501EE"/>
    <w:rsid w:val="00D517DC"/>
    <w:rsid w:val="00D523E1"/>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2DEA"/>
    <w:rsid w:val="00ED5108"/>
    <w:rsid w:val="00F012CA"/>
    <w:rsid w:val="00F01752"/>
    <w:rsid w:val="00F0355A"/>
    <w:rsid w:val="00F231B8"/>
    <w:rsid w:val="00F24A7E"/>
    <w:rsid w:val="00F33DC0"/>
    <w:rsid w:val="00F557FA"/>
    <w:rsid w:val="00F62587"/>
    <w:rsid w:val="00F63E9E"/>
    <w:rsid w:val="00F73E3D"/>
    <w:rsid w:val="00F76843"/>
    <w:rsid w:val="00F776E1"/>
    <w:rsid w:val="00F925EB"/>
    <w:rsid w:val="00FA6DD0"/>
    <w:rsid w:val="00FC28DF"/>
    <w:rsid w:val="00FE3136"/>
    <w:rsid w:val="00FE50A3"/>
    <w:rsid w:val="00FF369D"/>
    <w:rsid w:val="00FF6FB0"/>
    <w:rsid w:val="010EA795"/>
    <w:rsid w:val="01818CB5"/>
    <w:rsid w:val="0295D7B0"/>
    <w:rsid w:val="03F471F6"/>
    <w:rsid w:val="0409C10C"/>
    <w:rsid w:val="04F3E5B7"/>
    <w:rsid w:val="05B6D577"/>
    <w:rsid w:val="0632A836"/>
    <w:rsid w:val="069AA0E3"/>
    <w:rsid w:val="06B45369"/>
    <w:rsid w:val="07753DF9"/>
    <w:rsid w:val="07CF7BE8"/>
    <w:rsid w:val="07E74284"/>
    <w:rsid w:val="07FFD3D3"/>
    <w:rsid w:val="080F9DE7"/>
    <w:rsid w:val="08165589"/>
    <w:rsid w:val="08515502"/>
    <w:rsid w:val="0947D319"/>
    <w:rsid w:val="0B071CAA"/>
    <w:rsid w:val="0B240EAF"/>
    <w:rsid w:val="0B39B34D"/>
    <w:rsid w:val="0BC5BB28"/>
    <w:rsid w:val="0C42EB61"/>
    <w:rsid w:val="0E3EBD6C"/>
    <w:rsid w:val="0EE3ED88"/>
    <w:rsid w:val="0F6857DC"/>
    <w:rsid w:val="0FCC31C7"/>
    <w:rsid w:val="102AE790"/>
    <w:rsid w:val="10DB0E3B"/>
    <w:rsid w:val="116FD428"/>
    <w:rsid w:val="11F2EC25"/>
    <w:rsid w:val="12CD588D"/>
    <w:rsid w:val="13173609"/>
    <w:rsid w:val="15C275CC"/>
    <w:rsid w:val="18103F54"/>
    <w:rsid w:val="1866F60E"/>
    <w:rsid w:val="18695264"/>
    <w:rsid w:val="18D3E66F"/>
    <w:rsid w:val="18F9489D"/>
    <w:rsid w:val="1933E46A"/>
    <w:rsid w:val="195A0A87"/>
    <w:rsid w:val="1A172959"/>
    <w:rsid w:val="1B114EE7"/>
    <w:rsid w:val="1B3BBE98"/>
    <w:rsid w:val="1C192D5B"/>
    <w:rsid w:val="1CBF4D92"/>
    <w:rsid w:val="1D34B008"/>
    <w:rsid w:val="1DF1F435"/>
    <w:rsid w:val="1F2C2D60"/>
    <w:rsid w:val="2121DC80"/>
    <w:rsid w:val="213EBEC7"/>
    <w:rsid w:val="22671C8E"/>
    <w:rsid w:val="227EE32A"/>
    <w:rsid w:val="234E42C9"/>
    <w:rsid w:val="2351F72B"/>
    <w:rsid w:val="23B14E6C"/>
    <w:rsid w:val="23FA0578"/>
    <w:rsid w:val="2497129E"/>
    <w:rsid w:val="25A7A6ED"/>
    <w:rsid w:val="260FD830"/>
    <w:rsid w:val="26674EC1"/>
    <w:rsid w:val="26A14CE3"/>
    <w:rsid w:val="270E5445"/>
    <w:rsid w:val="28200896"/>
    <w:rsid w:val="2860AB8E"/>
    <w:rsid w:val="293D749B"/>
    <w:rsid w:val="2A4A3C0F"/>
    <w:rsid w:val="2B039DCD"/>
    <w:rsid w:val="2B0F56BA"/>
    <w:rsid w:val="2B168718"/>
    <w:rsid w:val="2BBDDC42"/>
    <w:rsid w:val="2CCDE525"/>
    <w:rsid w:val="2FFB967E"/>
    <w:rsid w:val="303D93E9"/>
    <w:rsid w:val="30594881"/>
    <w:rsid w:val="31843CDA"/>
    <w:rsid w:val="31C8C808"/>
    <w:rsid w:val="31CC4DD9"/>
    <w:rsid w:val="31D554A6"/>
    <w:rsid w:val="31FFE0F9"/>
    <w:rsid w:val="3265410E"/>
    <w:rsid w:val="3397097A"/>
    <w:rsid w:val="33D9745D"/>
    <w:rsid w:val="3438C4DB"/>
    <w:rsid w:val="349157B6"/>
    <w:rsid w:val="34A2D759"/>
    <w:rsid w:val="35995570"/>
    <w:rsid w:val="36F4FBA2"/>
    <w:rsid w:val="380BAE89"/>
    <w:rsid w:val="38110771"/>
    <w:rsid w:val="383BEB0A"/>
    <w:rsid w:val="3A3F1ACF"/>
    <w:rsid w:val="3A47C454"/>
    <w:rsid w:val="3AAC9B19"/>
    <w:rsid w:val="3BE13FA2"/>
    <w:rsid w:val="3BE394B5"/>
    <w:rsid w:val="3D6EE0FA"/>
    <w:rsid w:val="3D91222A"/>
    <w:rsid w:val="3E973F29"/>
    <w:rsid w:val="3EA4202B"/>
    <w:rsid w:val="40E58674"/>
    <w:rsid w:val="418407A1"/>
    <w:rsid w:val="42F1A5C6"/>
    <w:rsid w:val="4361C549"/>
    <w:rsid w:val="43831A79"/>
    <w:rsid w:val="4462304F"/>
    <w:rsid w:val="447A8466"/>
    <w:rsid w:val="451E7A1A"/>
    <w:rsid w:val="462E37B7"/>
    <w:rsid w:val="47222D71"/>
    <w:rsid w:val="4775CF81"/>
    <w:rsid w:val="4779A7E3"/>
    <w:rsid w:val="48561ADC"/>
    <w:rsid w:val="4886E19C"/>
    <w:rsid w:val="48AF4869"/>
    <w:rsid w:val="491E3A64"/>
    <w:rsid w:val="49A49121"/>
    <w:rsid w:val="4A0DDFBE"/>
    <w:rsid w:val="4A9D21B6"/>
    <w:rsid w:val="4AFCD310"/>
    <w:rsid w:val="4B007A25"/>
    <w:rsid w:val="4B77D1D2"/>
    <w:rsid w:val="4BD34ECA"/>
    <w:rsid w:val="4BF1579A"/>
    <w:rsid w:val="4BF69EA0"/>
    <w:rsid w:val="4C379896"/>
    <w:rsid w:val="4C796554"/>
    <w:rsid w:val="4C8C2B35"/>
    <w:rsid w:val="4C970A8C"/>
    <w:rsid w:val="4D9E062F"/>
    <w:rsid w:val="4DAA9752"/>
    <w:rsid w:val="5400B079"/>
    <w:rsid w:val="556859FC"/>
    <w:rsid w:val="57221947"/>
    <w:rsid w:val="5738513B"/>
    <w:rsid w:val="5859969F"/>
    <w:rsid w:val="585F812B"/>
    <w:rsid w:val="5871F2C1"/>
    <w:rsid w:val="594C17D4"/>
    <w:rsid w:val="59C210DC"/>
    <w:rsid w:val="5AC344C2"/>
    <w:rsid w:val="5ACF59F5"/>
    <w:rsid w:val="5C26E4CE"/>
    <w:rsid w:val="5C40C457"/>
    <w:rsid w:val="5C73A8F1"/>
    <w:rsid w:val="5D3FE19F"/>
    <w:rsid w:val="5D6391D0"/>
    <w:rsid w:val="5D6D9D9B"/>
    <w:rsid w:val="5D75588C"/>
    <w:rsid w:val="5E822D55"/>
    <w:rsid w:val="5E82DFD4"/>
    <w:rsid w:val="5EB59A52"/>
    <w:rsid w:val="5F3A7B6B"/>
    <w:rsid w:val="5FDA4C3E"/>
    <w:rsid w:val="6111BCFE"/>
    <w:rsid w:val="617B4808"/>
    <w:rsid w:val="625D1A15"/>
    <w:rsid w:val="62FD6FCA"/>
    <w:rsid w:val="641EC1C9"/>
    <w:rsid w:val="64F16ED9"/>
    <w:rsid w:val="65B33976"/>
    <w:rsid w:val="660891A0"/>
    <w:rsid w:val="668D3F3A"/>
    <w:rsid w:val="67061DF8"/>
    <w:rsid w:val="6756628B"/>
    <w:rsid w:val="68AC189E"/>
    <w:rsid w:val="68C1411F"/>
    <w:rsid w:val="69BB6C49"/>
    <w:rsid w:val="6A886C8D"/>
    <w:rsid w:val="6B83E0D0"/>
    <w:rsid w:val="6C0C70A2"/>
    <w:rsid w:val="6D28B1AF"/>
    <w:rsid w:val="6D616F43"/>
    <w:rsid w:val="6E98511F"/>
    <w:rsid w:val="6EB73EE5"/>
    <w:rsid w:val="701E85F3"/>
    <w:rsid w:val="70A5E365"/>
    <w:rsid w:val="70CC06BD"/>
    <w:rsid w:val="7227A7BA"/>
    <w:rsid w:val="735626B5"/>
    <w:rsid w:val="73C14E08"/>
    <w:rsid w:val="74767B69"/>
    <w:rsid w:val="76124BCA"/>
    <w:rsid w:val="76AB508A"/>
    <w:rsid w:val="77E081E5"/>
    <w:rsid w:val="783BD05B"/>
    <w:rsid w:val="7AE90B59"/>
    <w:rsid w:val="7D755041"/>
    <w:rsid w:val="7EB6626F"/>
    <w:rsid w:val="7EE8B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aliases w:val="TSB Headings"/>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aliases w:val="TSB Headings Char"/>
    <w:uiPriority w:val="9"/>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link w:val="ListParagraphChar"/>
    <w:uiPriority w:val="34"/>
    <w:qFormat/>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uiPriority w:val="99"/>
    <w:pPr>
      <w:spacing w:after="0" w:line="240" w:lineRule="auto"/>
    </w:pPr>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uiPriority w:val="99"/>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uiPriority w:val="99"/>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5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E0E7F"/>
  </w:style>
  <w:style w:type="character" w:customStyle="1" w:styleId="eop">
    <w:name w:val="eop"/>
    <w:basedOn w:val="DefaultParagraphFont"/>
    <w:rsid w:val="000A64DB"/>
  </w:style>
  <w:style w:type="paragraph" w:customStyle="1" w:styleId="paragraph">
    <w:name w:val="paragraph"/>
    <w:basedOn w:val="Normal"/>
    <w:rsid w:val="000A64DB"/>
    <w:pPr>
      <w:suppressAutoHyphens w:val="0"/>
      <w:autoSpaceDN/>
      <w:spacing w:before="100" w:beforeAutospacing="1" w:after="100" w:afterAutospacing="1" w:line="240" w:lineRule="auto"/>
    </w:pPr>
    <w:rPr>
      <w:rFonts w:ascii="Times New Roman" w:hAnsi="Times New Roman"/>
      <w:color w:val="auto"/>
    </w:rPr>
  </w:style>
  <w:style w:type="table" w:styleId="LightList-Accent1">
    <w:name w:val="Light List Accent 1"/>
    <w:basedOn w:val="TableNormal"/>
    <w:uiPriority w:val="61"/>
    <w:rsid w:val="00833315"/>
    <w:pPr>
      <w:autoSpaceDN/>
    </w:pPr>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2">
    <w:name w:val="Style2"/>
    <w:basedOn w:val="Heading1"/>
    <w:link w:val="Style2Char"/>
    <w:qFormat/>
    <w:rsid w:val="00833315"/>
    <w:pPr>
      <w:pageBreakBefore w:val="0"/>
      <w:numPr>
        <w:ilvl w:val="1"/>
        <w:numId w:val="37"/>
      </w:numPr>
      <w:tabs>
        <w:tab w:val="left" w:pos="3686"/>
      </w:tabs>
      <w:suppressAutoHyphens w:val="0"/>
      <w:autoSpaceDN/>
      <w:spacing w:before="240" w:after="0"/>
      <w:ind w:left="357" w:hanging="357"/>
    </w:pPr>
    <w:rPr>
      <w:rFonts w:eastAsiaTheme="minorHAnsi" w:cstheme="minorHAnsi"/>
      <w:bCs/>
      <w:sz w:val="22"/>
      <w:szCs w:val="28"/>
    </w:rPr>
  </w:style>
  <w:style w:type="paragraph" w:customStyle="1" w:styleId="PolicyLevel3">
    <w:name w:val="Policy Level 3"/>
    <w:basedOn w:val="Style2"/>
    <w:qFormat/>
    <w:rsid w:val="00833315"/>
    <w:pPr>
      <w:numPr>
        <w:ilvl w:val="2"/>
      </w:numPr>
      <w:ind w:left="357" w:hanging="357"/>
    </w:pPr>
  </w:style>
  <w:style w:type="numbering" w:customStyle="1" w:styleId="Style1">
    <w:name w:val="Style1"/>
    <w:basedOn w:val="NoList"/>
    <w:uiPriority w:val="99"/>
    <w:rsid w:val="00833315"/>
    <w:pPr>
      <w:numPr>
        <w:numId w:val="19"/>
      </w:numPr>
    </w:pPr>
  </w:style>
  <w:style w:type="paragraph" w:customStyle="1" w:styleId="Heading10">
    <w:name w:val="Heading1"/>
    <w:basedOn w:val="Normal"/>
    <w:next w:val="Normal"/>
    <w:qFormat/>
    <w:rsid w:val="00833315"/>
    <w:pPr>
      <w:suppressAutoHyphens w:val="0"/>
      <w:autoSpaceDN/>
      <w:spacing w:before="120" w:after="120" w:line="320" w:lineRule="exact"/>
      <w:jc w:val="both"/>
    </w:pPr>
    <w:rPr>
      <w:rFonts w:eastAsiaTheme="minorHAnsi" w:cs="Arial"/>
      <w:b/>
      <w:color w:val="000000" w:themeColor="text1"/>
      <w:sz w:val="28"/>
      <w:szCs w:val="28"/>
      <w:lang w:eastAsia="en-US"/>
    </w:rPr>
  </w:style>
  <w:style w:type="paragraph" w:customStyle="1" w:styleId="PolicyBullets">
    <w:name w:val="Policy Bullets"/>
    <w:basedOn w:val="ListParagraph"/>
    <w:link w:val="PolicyBulletsChar"/>
    <w:qFormat/>
    <w:rsid w:val="00833315"/>
    <w:pPr>
      <w:numPr>
        <w:numId w:val="25"/>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833315"/>
    <w:rPr>
      <w:rFonts w:eastAsiaTheme="minorHAnsi" w:cs="Arial"/>
      <w:color w:val="000000" w:themeColor="text1"/>
      <w:sz w:val="22"/>
      <w:szCs w:val="22"/>
      <w:lang w:eastAsia="en-US"/>
    </w:rPr>
  </w:style>
  <w:style w:type="character" w:customStyle="1" w:styleId="Style2Char">
    <w:name w:val="Style2 Char"/>
    <w:basedOn w:val="Heading1Char"/>
    <w:link w:val="Style2"/>
    <w:rsid w:val="00833315"/>
    <w:rPr>
      <w:rFonts w:eastAsiaTheme="minorHAnsi" w:cstheme="minorHAnsi"/>
      <w:b/>
      <w:bCs/>
      <w:color w:val="104F75"/>
      <w:sz w:val="22"/>
      <w:szCs w:val="28"/>
    </w:rPr>
  </w:style>
  <w:style w:type="paragraph" w:customStyle="1" w:styleId="TSB-PolicyBullets">
    <w:name w:val="TSB - Policy Bullets"/>
    <w:basedOn w:val="ListParagraph"/>
    <w:link w:val="TSB-PolicyBulletsChar"/>
    <w:autoRedefine/>
    <w:qFormat/>
    <w:rsid w:val="00833315"/>
    <w:pPr>
      <w:numPr>
        <w:numId w:val="37"/>
      </w:numPr>
      <w:tabs>
        <w:tab w:val="left" w:pos="3686"/>
      </w:tabs>
      <w:suppressAutoHyphens w:val="0"/>
      <w:autoSpaceDN/>
      <w:spacing w:before="240" w:line="276" w:lineRule="auto"/>
      <w:contextualSpacing w:val="0"/>
    </w:pPr>
    <w:rPr>
      <w:rFonts w:eastAsiaTheme="minorHAnsi" w:cs="Arial"/>
      <w:b/>
      <w:bCs/>
      <w:color w:val="auto"/>
      <w:sz w:val="28"/>
      <w:szCs w:val="28"/>
    </w:rPr>
  </w:style>
  <w:style w:type="character" w:customStyle="1" w:styleId="TSB-PolicyBulletsChar">
    <w:name w:val="TSB - Policy Bullets Char"/>
    <w:basedOn w:val="DefaultParagraphFont"/>
    <w:link w:val="TSB-PolicyBullets"/>
    <w:rsid w:val="00833315"/>
    <w:rPr>
      <w:rFonts w:eastAsiaTheme="minorHAnsi" w:cs="Arial"/>
      <w:b/>
      <w:bCs/>
      <w:sz w:val="28"/>
      <w:szCs w:val="28"/>
    </w:rPr>
  </w:style>
  <w:style w:type="character" w:customStyle="1" w:styleId="ListParagraphChar">
    <w:name w:val="List Paragraph Char"/>
    <w:basedOn w:val="DefaultParagraphFont"/>
    <w:link w:val="ListParagraph"/>
    <w:uiPriority w:val="34"/>
    <w:rsid w:val="00833315"/>
    <w:rPr>
      <w:color w:val="0D0D0D"/>
      <w:sz w:val="24"/>
      <w:szCs w:val="24"/>
    </w:rPr>
  </w:style>
  <w:style w:type="paragraph" w:customStyle="1" w:styleId="TSB-Level1Numbers">
    <w:name w:val="TSB - Level 1 Numbers"/>
    <w:basedOn w:val="Heading1"/>
    <w:link w:val="TSB-Level1NumbersChar"/>
    <w:qFormat/>
    <w:rsid w:val="00833315"/>
    <w:pPr>
      <w:pageBreakBefore w:val="0"/>
      <w:numPr>
        <w:numId w:val="22"/>
      </w:numPr>
      <w:suppressAutoHyphens w:val="0"/>
      <w:autoSpaceDN/>
      <w:spacing w:before="240" w:after="200" w:line="276" w:lineRule="auto"/>
      <w:ind w:left="1673" w:hanging="482"/>
      <w:jc w:val="both"/>
    </w:pPr>
    <w:rPr>
      <w:rFonts w:asciiTheme="majorHAnsi" w:eastAsiaTheme="minorHAnsi" w:hAnsiTheme="majorHAnsi" w:cstheme="minorHAnsi"/>
      <w:b w:val="0"/>
      <w:color w:val="auto"/>
      <w:sz w:val="22"/>
      <w:szCs w:val="28"/>
      <w:lang w:eastAsia="en-US"/>
    </w:rPr>
  </w:style>
  <w:style w:type="paragraph" w:customStyle="1" w:styleId="TSB-Level2Numbers">
    <w:name w:val="TSB - Level 2 Numbers"/>
    <w:basedOn w:val="TSB-Level1Numbers"/>
    <w:autoRedefine/>
    <w:qFormat/>
    <w:rsid w:val="00833315"/>
    <w:pPr>
      <w:ind w:left="2223" w:hanging="998"/>
    </w:pPr>
  </w:style>
  <w:style w:type="character" w:customStyle="1" w:styleId="TSB-Level1NumbersChar">
    <w:name w:val="TSB - Level 1 Numbers Char"/>
    <w:basedOn w:val="DefaultParagraphFont"/>
    <w:link w:val="TSB-Level1Numbers"/>
    <w:rsid w:val="00833315"/>
    <w:rPr>
      <w:rFonts w:asciiTheme="majorHAnsi" w:eastAsiaTheme="minorHAnsi" w:hAnsiTheme="majorHAnsi" w:cstheme="minorHAnsi"/>
      <w:sz w:val="22"/>
      <w:szCs w:val="28"/>
      <w:lang w:eastAsia="en-US"/>
    </w:rPr>
  </w:style>
  <w:style w:type="paragraph" w:styleId="NormalWeb">
    <w:name w:val="Normal (Web)"/>
    <w:basedOn w:val="Normal"/>
    <w:uiPriority w:val="99"/>
    <w:semiHidden/>
    <w:unhideWhenUsed/>
    <w:rsid w:val="00833315"/>
    <w:pPr>
      <w:suppressAutoHyphens w:val="0"/>
      <w:autoSpaceDN/>
      <w:spacing w:before="100" w:beforeAutospacing="1" w:after="100" w:afterAutospacing="1" w:line="240" w:lineRule="auto"/>
    </w:pPr>
    <w:rPr>
      <w:rFonts w:ascii="Times New Roman" w:hAnsi="Times New Roman"/>
      <w:color w:val="auto"/>
    </w:rPr>
  </w:style>
  <w:style w:type="character" w:customStyle="1" w:styleId="loader-wrapper">
    <w:name w:val="loader-wrapper"/>
    <w:basedOn w:val="DefaultParagraphFont"/>
    <w:rsid w:val="00833315"/>
  </w:style>
  <w:style w:type="character" w:customStyle="1" w:styleId="sc-iwskbi">
    <w:name w:val="sc-iwskbi"/>
    <w:basedOn w:val="DefaultParagraphFont"/>
    <w:rsid w:val="0083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71918862">
      <w:bodyDiv w:val="1"/>
      <w:marLeft w:val="0"/>
      <w:marRight w:val="0"/>
      <w:marTop w:val="0"/>
      <w:marBottom w:val="0"/>
      <w:divBdr>
        <w:top w:val="none" w:sz="0" w:space="0" w:color="auto"/>
        <w:left w:val="none" w:sz="0" w:space="0" w:color="auto"/>
        <w:bottom w:val="none" w:sz="0" w:space="0" w:color="auto"/>
        <w:right w:val="none" w:sz="0" w:space="0" w:color="auto"/>
      </w:divBdr>
      <w:divsChild>
        <w:div w:id="1008798550">
          <w:marLeft w:val="0"/>
          <w:marRight w:val="0"/>
          <w:marTop w:val="0"/>
          <w:marBottom w:val="0"/>
          <w:divBdr>
            <w:top w:val="none" w:sz="0" w:space="0" w:color="auto"/>
            <w:left w:val="none" w:sz="0" w:space="0" w:color="auto"/>
            <w:bottom w:val="none" w:sz="0" w:space="0" w:color="auto"/>
            <w:right w:val="none" w:sz="0" w:space="0" w:color="auto"/>
          </w:divBdr>
          <w:divsChild>
            <w:div w:id="439108017">
              <w:marLeft w:val="0"/>
              <w:marRight w:val="0"/>
              <w:marTop w:val="0"/>
              <w:marBottom w:val="0"/>
              <w:divBdr>
                <w:top w:val="none" w:sz="0" w:space="0" w:color="auto"/>
                <w:left w:val="none" w:sz="0" w:space="0" w:color="auto"/>
                <w:bottom w:val="none" w:sz="0" w:space="0" w:color="auto"/>
                <w:right w:val="none" w:sz="0" w:space="0" w:color="auto"/>
              </w:divBdr>
            </w:div>
          </w:divsChild>
        </w:div>
        <w:div w:id="1226720888">
          <w:marLeft w:val="0"/>
          <w:marRight w:val="0"/>
          <w:marTop w:val="0"/>
          <w:marBottom w:val="0"/>
          <w:divBdr>
            <w:top w:val="none" w:sz="0" w:space="0" w:color="auto"/>
            <w:left w:val="none" w:sz="0" w:space="0" w:color="auto"/>
            <w:bottom w:val="none" w:sz="0" w:space="0" w:color="auto"/>
            <w:right w:val="none" w:sz="0" w:space="0" w:color="auto"/>
          </w:divBdr>
          <w:divsChild>
            <w:div w:id="1822891717">
              <w:marLeft w:val="0"/>
              <w:marRight w:val="0"/>
              <w:marTop w:val="0"/>
              <w:marBottom w:val="0"/>
              <w:divBdr>
                <w:top w:val="none" w:sz="0" w:space="0" w:color="auto"/>
                <w:left w:val="none" w:sz="0" w:space="0" w:color="auto"/>
                <w:bottom w:val="none" w:sz="0" w:space="0" w:color="auto"/>
                <w:right w:val="none" w:sz="0" w:space="0" w:color="auto"/>
              </w:divBdr>
            </w:div>
            <w:div w:id="1808745736">
              <w:marLeft w:val="0"/>
              <w:marRight w:val="0"/>
              <w:marTop w:val="0"/>
              <w:marBottom w:val="0"/>
              <w:divBdr>
                <w:top w:val="none" w:sz="0" w:space="0" w:color="auto"/>
                <w:left w:val="none" w:sz="0" w:space="0" w:color="auto"/>
                <w:bottom w:val="none" w:sz="0" w:space="0" w:color="auto"/>
                <w:right w:val="none" w:sz="0" w:space="0" w:color="auto"/>
              </w:divBdr>
            </w:div>
            <w:div w:id="768625873">
              <w:marLeft w:val="0"/>
              <w:marRight w:val="0"/>
              <w:marTop w:val="0"/>
              <w:marBottom w:val="0"/>
              <w:divBdr>
                <w:top w:val="none" w:sz="0" w:space="0" w:color="auto"/>
                <w:left w:val="none" w:sz="0" w:space="0" w:color="auto"/>
                <w:bottom w:val="none" w:sz="0" w:space="0" w:color="auto"/>
                <w:right w:val="none" w:sz="0" w:space="0" w:color="auto"/>
              </w:divBdr>
            </w:div>
            <w:div w:id="485241621">
              <w:marLeft w:val="0"/>
              <w:marRight w:val="0"/>
              <w:marTop w:val="0"/>
              <w:marBottom w:val="0"/>
              <w:divBdr>
                <w:top w:val="none" w:sz="0" w:space="0" w:color="auto"/>
                <w:left w:val="none" w:sz="0" w:space="0" w:color="auto"/>
                <w:bottom w:val="none" w:sz="0" w:space="0" w:color="auto"/>
                <w:right w:val="none" w:sz="0" w:space="0" w:color="auto"/>
              </w:divBdr>
            </w:div>
          </w:divsChild>
        </w:div>
        <w:div w:id="597756030">
          <w:marLeft w:val="0"/>
          <w:marRight w:val="0"/>
          <w:marTop w:val="0"/>
          <w:marBottom w:val="0"/>
          <w:divBdr>
            <w:top w:val="none" w:sz="0" w:space="0" w:color="auto"/>
            <w:left w:val="none" w:sz="0" w:space="0" w:color="auto"/>
            <w:bottom w:val="none" w:sz="0" w:space="0" w:color="auto"/>
            <w:right w:val="none" w:sz="0" w:space="0" w:color="auto"/>
          </w:divBdr>
          <w:divsChild>
            <w:div w:id="347291727">
              <w:marLeft w:val="0"/>
              <w:marRight w:val="0"/>
              <w:marTop w:val="0"/>
              <w:marBottom w:val="0"/>
              <w:divBdr>
                <w:top w:val="none" w:sz="0" w:space="0" w:color="auto"/>
                <w:left w:val="none" w:sz="0" w:space="0" w:color="auto"/>
                <w:bottom w:val="none" w:sz="0" w:space="0" w:color="auto"/>
                <w:right w:val="none" w:sz="0" w:space="0" w:color="auto"/>
              </w:divBdr>
            </w:div>
          </w:divsChild>
        </w:div>
        <w:div w:id="1527868547">
          <w:marLeft w:val="0"/>
          <w:marRight w:val="0"/>
          <w:marTop w:val="0"/>
          <w:marBottom w:val="0"/>
          <w:divBdr>
            <w:top w:val="none" w:sz="0" w:space="0" w:color="auto"/>
            <w:left w:val="none" w:sz="0" w:space="0" w:color="auto"/>
            <w:bottom w:val="none" w:sz="0" w:space="0" w:color="auto"/>
            <w:right w:val="none" w:sz="0" w:space="0" w:color="auto"/>
          </w:divBdr>
          <w:divsChild>
            <w:div w:id="1272056988">
              <w:marLeft w:val="0"/>
              <w:marRight w:val="0"/>
              <w:marTop w:val="0"/>
              <w:marBottom w:val="0"/>
              <w:divBdr>
                <w:top w:val="none" w:sz="0" w:space="0" w:color="auto"/>
                <w:left w:val="none" w:sz="0" w:space="0" w:color="auto"/>
                <w:bottom w:val="none" w:sz="0" w:space="0" w:color="auto"/>
                <w:right w:val="none" w:sz="0" w:space="0" w:color="auto"/>
              </w:divBdr>
            </w:div>
          </w:divsChild>
        </w:div>
        <w:div w:id="2101755498">
          <w:marLeft w:val="0"/>
          <w:marRight w:val="0"/>
          <w:marTop w:val="0"/>
          <w:marBottom w:val="0"/>
          <w:divBdr>
            <w:top w:val="none" w:sz="0" w:space="0" w:color="auto"/>
            <w:left w:val="none" w:sz="0" w:space="0" w:color="auto"/>
            <w:bottom w:val="none" w:sz="0" w:space="0" w:color="auto"/>
            <w:right w:val="none" w:sz="0" w:space="0" w:color="auto"/>
          </w:divBdr>
          <w:divsChild>
            <w:div w:id="178013426">
              <w:marLeft w:val="0"/>
              <w:marRight w:val="0"/>
              <w:marTop w:val="0"/>
              <w:marBottom w:val="0"/>
              <w:divBdr>
                <w:top w:val="none" w:sz="0" w:space="0" w:color="auto"/>
                <w:left w:val="none" w:sz="0" w:space="0" w:color="auto"/>
                <w:bottom w:val="none" w:sz="0" w:space="0" w:color="auto"/>
                <w:right w:val="none" w:sz="0" w:space="0" w:color="auto"/>
              </w:divBdr>
            </w:div>
            <w:div w:id="170218405">
              <w:marLeft w:val="0"/>
              <w:marRight w:val="0"/>
              <w:marTop w:val="0"/>
              <w:marBottom w:val="0"/>
              <w:divBdr>
                <w:top w:val="none" w:sz="0" w:space="0" w:color="auto"/>
                <w:left w:val="none" w:sz="0" w:space="0" w:color="auto"/>
                <w:bottom w:val="none" w:sz="0" w:space="0" w:color="auto"/>
                <w:right w:val="none" w:sz="0" w:space="0" w:color="auto"/>
              </w:divBdr>
            </w:div>
          </w:divsChild>
        </w:div>
        <w:div w:id="1597901833">
          <w:marLeft w:val="0"/>
          <w:marRight w:val="0"/>
          <w:marTop w:val="0"/>
          <w:marBottom w:val="0"/>
          <w:divBdr>
            <w:top w:val="none" w:sz="0" w:space="0" w:color="auto"/>
            <w:left w:val="none" w:sz="0" w:space="0" w:color="auto"/>
            <w:bottom w:val="none" w:sz="0" w:space="0" w:color="auto"/>
            <w:right w:val="none" w:sz="0" w:space="0" w:color="auto"/>
          </w:divBdr>
          <w:divsChild>
            <w:div w:id="136915963">
              <w:marLeft w:val="0"/>
              <w:marRight w:val="0"/>
              <w:marTop w:val="0"/>
              <w:marBottom w:val="0"/>
              <w:divBdr>
                <w:top w:val="none" w:sz="0" w:space="0" w:color="auto"/>
                <w:left w:val="none" w:sz="0" w:space="0" w:color="auto"/>
                <w:bottom w:val="none" w:sz="0" w:space="0" w:color="auto"/>
                <w:right w:val="none" w:sz="0" w:space="0" w:color="auto"/>
              </w:divBdr>
            </w:div>
          </w:divsChild>
        </w:div>
        <w:div w:id="1067876041">
          <w:marLeft w:val="0"/>
          <w:marRight w:val="0"/>
          <w:marTop w:val="0"/>
          <w:marBottom w:val="0"/>
          <w:divBdr>
            <w:top w:val="none" w:sz="0" w:space="0" w:color="auto"/>
            <w:left w:val="none" w:sz="0" w:space="0" w:color="auto"/>
            <w:bottom w:val="none" w:sz="0" w:space="0" w:color="auto"/>
            <w:right w:val="none" w:sz="0" w:space="0" w:color="auto"/>
          </w:divBdr>
          <w:divsChild>
            <w:div w:id="1010990357">
              <w:marLeft w:val="0"/>
              <w:marRight w:val="0"/>
              <w:marTop w:val="0"/>
              <w:marBottom w:val="0"/>
              <w:divBdr>
                <w:top w:val="none" w:sz="0" w:space="0" w:color="auto"/>
                <w:left w:val="none" w:sz="0" w:space="0" w:color="auto"/>
                <w:bottom w:val="none" w:sz="0" w:space="0" w:color="auto"/>
                <w:right w:val="none" w:sz="0" w:space="0" w:color="auto"/>
              </w:divBdr>
            </w:div>
          </w:divsChild>
        </w:div>
        <w:div w:id="1362510009">
          <w:marLeft w:val="0"/>
          <w:marRight w:val="0"/>
          <w:marTop w:val="0"/>
          <w:marBottom w:val="0"/>
          <w:divBdr>
            <w:top w:val="none" w:sz="0" w:space="0" w:color="auto"/>
            <w:left w:val="none" w:sz="0" w:space="0" w:color="auto"/>
            <w:bottom w:val="none" w:sz="0" w:space="0" w:color="auto"/>
            <w:right w:val="none" w:sz="0" w:space="0" w:color="auto"/>
          </w:divBdr>
          <w:divsChild>
            <w:div w:id="262763172">
              <w:marLeft w:val="0"/>
              <w:marRight w:val="0"/>
              <w:marTop w:val="0"/>
              <w:marBottom w:val="0"/>
              <w:divBdr>
                <w:top w:val="none" w:sz="0" w:space="0" w:color="auto"/>
                <w:left w:val="none" w:sz="0" w:space="0" w:color="auto"/>
                <w:bottom w:val="none" w:sz="0" w:space="0" w:color="auto"/>
                <w:right w:val="none" w:sz="0" w:space="0" w:color="auto"/>
              </w:divBdr>
            </w:div>
            <w:div w:id="906691533">
              <w:marLeft w:val="0"/>
              <w:marRight w:val="0"/>
              <w:marTop w:val="0"/>
              <w:marBottom w:val="0"/>
              <w:divBdr>
                <w:top w:val="none" w:sz="0" w:space="0" w:color="auto"/>
                <w:left w:val="none" w:sz="0" w:space="0" w:color="auto"/>
                <w:bottom w:val="none" w:sz="0" w:space="0" w:color="auto"/>
                <w:right w:val="none" w:sz="0" w:space="0" w:color="auto"/>
              </w:divBdr>
            </w:div>
          </w:divsChild>
        </w:div>
        <w:div w:id="406727746">
          <w:marLeft w:val="0"/>
          <w:marRight w:val="0"/>
          <w:marTop w:val="0"/>
          <w:marBottom w:val="0"/>
          <w:divBdr>
            <w:top w:val="none" w:sz="0" w:space="0" w:color="auto"/>
            <w:left w:val="none" w:sz="0" w:space="0" w:color="auto"/>
            <w:bottom w:val="none" w:sz="0" w:space="0" w:color="auto"/>
            <w:right w:val="none" w:sz="0" w:space="0" w:color="auto"/>
          </w:divBdr>
          <w:divsChild>
            <w:div w:id="4687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865">
      <w:bodyDiv w:val="1"/>
      <w:marLeft w:val="0"/>
      <w:marRight w:val="0"/>
      <w:marTop w:val="0"/>
      <w:marBottom w:val="0"/>
      <w:divBdr>
        <w:top w:val="none" w:sz="0" w:space="0" w:color="auto"/>
        <w:left w:val="none" w:sz="0" w:space="0" w:color="auto"/>
        <w:bottom w:val="none" w:sz="0" w:space="0" w:color="auto"/>
        <w:right w:val="none" w:sz="0" w:space="0" w:color="auto"/>
      </w:divBdr>
      <w:divsChild>
        <w:div w:id="1712487403">
          <w:marLeft w:val="0"/>
          <w:marRight w:val="0"/>
          <w:marTop w:val="0"/>
          <w:marBottom w:val="0"/>
          <w:divBdr>
            <w:top w:val="none" w:sz="0" w:space="0" w:color="auto"/>
            <w:left w:val="none" w:sz="0" w:space="0" w:color="auto"/>
            <w:bottom w:val="none" w:sz="0" w:space="0" w:color="auto"/>
            <w:right w:val="none" w:sz="0" w:space="0" w:color="auto"/>
          </w:divBdr>
        </w:div>
        <w:div w:id="599148406">
          <w:marLeft w:val="0"/>
          <w:marRight w:val="0"/>
          <w:marTop w:val="0"/>
          <w:marBottom w:val="0"/>
          <w:divBdr>
            <w:top w:val="none" w:sz="0" w:space="0" w:color="auto"/>
            <w:left w:val="none" w:sz="0" w:space="0" w:color="auto"/>
            <w:bottom w:val="none" w:sz="0" w:space="0" w:color="auto"/>
            <w:right w:val="none" w:sz="0" w:space="0" w:color="auto"/>
          </w:divBdr>
        </w:div>
      </w:divsChild>
    </w:div>
    <w:div w:id="445928851">
      <w:bodyDiv w:val="1"/>
      <w:marLeft w:val="0"/>
      <w:marRight w:val="0"/>
      <w:marTop w:val="0"/>
      <w:marBottom w:val="0"/>
      <w:divBdr>
        <w:top w:val="none" w:sz="0" w:space="0" w:color="auto"/>
        <w:left w:val="none" w:sz="0" w:space="0" w:color="auto"/>
        <w:bottom w:val="none" w:sz="0" w:space="0" w:color="auto"/>
        <w:right w:val="none" w:sz="0" w:space="0" w:color="auto"/>
      </w:divBdr>
      <w:divsChild>
        <w:div w:id="1321497606">
          <w:marLeft w:val="0"/>
          <w:marRight w:val="0"/>
          <w:marTop w:val="0"/>
          <w:marBottom w:val="0"/>
          <w:divBdr>
            <w:top w:val="none" w:sz="0" w:space="0" w:color="auto"/>
            <w:left w:val="none" w:sz="0" w:space="0" w:color="auto"/>
            <w:bottom w:val="none" w:sz="0" w:space="0" w:color="auto"/>
            <w:right w:val="none" w:sz="0" w:space="0" w:color="auto"/>
          </w:divBdr>
          <w:divsChild>
            <w:div w:id="15888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5130">
      <w:bodyDiv w:val="1"/>
      <w:marLeft w:val="0"/>
      <w:marRight w:val="0"/>
      <w:marTop w:val="0"/>
      <w:marBottom w:val="0"/>
      <w:divBdr>
        <w:top w:val="none" w:sz="0" w:space="0" w:color="auto"/>
        <w:left w:val="none" w:sz="0" w:space="0" w:color="auto"/>
        <w:bottom w:val="none" w:sz="0" w:space="0" w:color="auto"/>
        <w:right w:val="none" w:sz="0" w:space="0" w:color="auto"/>
      </w:divBdr>
      <w:divsChild>
        <w:div w:id="1669138236">
          <w:marLeft w:val="0"/>
          <w:marRight w:val="0"/>
          <w:marTop w:val="0"/>
          <w:marBottom w:val="0"/>
          <w:divBdr>
            <w:top w:val="none" w:sz="0" w:space="0" w:color="auto"/>
            <w:left w:val="none" w:sz="0" w:space="0" w:color="auto"/>
            <w:bottom w:val="none" w:sz="0" w:space="0" w:color="auto"/>
            <w:right w:val="none" w:sz="0" w:space="0" w:color="auto"/>
          </w:divBdr>
          <w:divsChild>
            <w:div w:id="11303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3439">
      <w:bodyDiv w:val="1"/>
      <w:marLeft w:val="0"/>
      <w:marRight w:val="0"/>
      <w:marTop w:val="0"/>
      <w:marBottom w:val="0"/>
      <w:divBdr>
        <w:top w:val="none" w:sz="0" w:space="0" w:color="auto"/>
        <w:left w:val="none" w:sz="0" w:space="0" w:color="auto"/>
        <w:bottom w:val="none" w:sz="0" w:space="0" w:color="auto"/>
        <w:right w:val="none" w:sz="0" w:space="0" w:color="auto"/>
      </w:divBdr>
      <w:divsChild>
        <w:div w:id="939797385">
          <w:marLeft w:val="0"/>
          <w:marRight w:val="0"/>
          <w:marTop w:val="0"/>
          <w:marBottom w:val="0"/>
          <w:divBdr>
            <w:top w:val="none" w:sz="0" w:space="0" w:color="auto"/>
            <w:left w:val="none" w:sz="0" w:space="0" w:color="auto"/>
            <w:bottom w:val="none" w:sz="0" w:space="0" w:color="auto"/>
            <w:right w:val="none" w:sz="0" w:space="0" w:color="auto"/>
          </w:divBdr>
          <w:divsChild>
            <w:div w:id="13448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8584">
      <w:bodyDiv w:val="1"/>
      <w:marLeft w:val="0"/>
      <w:marRight w:val="0"/>
      <w:marTop w:val="0"/>
      <w:marBottom w:val="0"/>
      <w:divBdr>
        <w:top w:val="none" w:sz="0" w:space="0" w:color="auto"/>
        <w:left w:val="none" w:sz="0" w:space="0" w:color="auto"/>
        <w:bottom w:val="none" w:sz="0" w:space="0" w:color="auto"/>
        <w:right w:val="none" w:sz="0" w:space="0" w:color="auto"/>
      </w:divBdr>
      <w:divsChild>
        <w:div w:id="233468399">
          <w:marLeft w:val="0"/>
          <w:marRight w:val="0"/>
          <w:marTop w:val="0"/>
          <w:marBottom w:val="0"/>
          <w:divBdr>
            <w:top w:val="none" w:sz="0" w:space="0" w:color="auto"/>
            <w:left w:val="none" w:sz="0" w:space="0" w:color="auto"/>
            <w:bottom w:val="none" w:sz="0" w:space="0" w:color="auto"/>
            <w:right w:val="none" w:sz="0" w:space="0" w:color="auto"/>
          </w:divBdr>
          <w:divsChild>
            <w:div w:id="1089884019">
              <w:marLeft w:val="0"/>
              <w:marRight w:val="0"/>
              <w:marTop w:val="0"/>
              <w:marBottom w:val="0"/>
              <w:divBdr>
                <w:top w:val="none" w:sz="0" w:space="0" w:color="auto"/>
                <w:left w:val="none" w:sz="0" w:space="0" w:color="auto"/>
                <w:bottom w:val="none" w:sz="0" w:space="0" w:color="auto"/>
                <w:right w:val="none" w:sz="0" w:space="0" w:color="auto"/>
              </w:divBdr>
            </w:div>
          </w:divsChild>
        </w:div>
        <w:div w:id="1572960197">
          <w:marLeft w:val="0"/>
          <w:marRight w:val="0"/>
          <w:marTop w:val="0"/>
          <w:marBottom w:val="0"/>
          <w:divBdr>
            <w:top w:val="none" w:sz="0" w:space="0" w:color="auto"/>
            <w:left w:val="none" w:sz="0" w:space="0" w:color="auto"/>
            <w:bottom w:val="none" w:sz="0" w:space="0" w:color="auto"/>
            <w:right w:val="none" w:sz="0" w:space="0" w:color="auto"/>
          </w:divBdr>
          <w:divsChild>
            <w:div w:id="2119565853">
              <w:marLeft w:val="0"/>
              <w:marRight w:val="0"/>
              <w:marTop w:val="0"/>
              <w:marBottom w:val="0"/>
              <w:divBdr>
                <w:top w:val="none" w:sz="0" w:space="0" w:color="auto"/>
                <w:left w:val="none" w:sz="0" w:space="0" w:color="auto"/>
                <w:bottom w:val="none" w:sz="0" w:space="0" w:color="auto"/>
                <w:right w:val="none" w:sz="0" w:space="0" w:color="auto"/>
              </w:divBdr>
            </w:div>
            <w:div w:id="211617658">
              <w:marLeft w:val="0"/>
              <w:marRight w:val="0"/>
              <w:marTop w:val="0"/>
              <w:marBottom w:val="0"/>
              <w:divBdr>
                <w:top w:val="none" w:sz="0" w:space="0" w:color="auto"/>
                <w:left w:val="none" w:sz="0" w:space="0" w:color="auto"/>
                <w:bottom w:val="none" w:sz="0" w:space="0" w:color="auto"/>
                <w:right w:val="none" w:sz="0" w:space="0" w:color="auto"/>
              </w:divBdr>
            </w:div>
          </w:divsChild>
        </w:div>
        <w:div w:id="696737001">
          <w:marLeft w:val="0"/>
          <w:marRight w:val="0"/>
          <w:marTop w:val="0"/>
          <w:marBottom w:val="0"/>
          <w:divBdr>
            <w:top w:val="none" w:sz="0" w:space="0" w:color="auto"/>
            <w:left w:val="none" w:sz="0" w:space="0" w:color="auto"/>
            <w:bottom w:val="none" w:sz="0" w:space="0" w:color="auto"/>
            <w:right w:val="none" w:sz="0" w:space="0" w:color="auto"/>
          </w:divBdr>
          <w:divsChild>
            <w:div w:id="18463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518">
      <w:bodyDiv w:val="1"/>
      <w:marLeft w:val="0"/>
      <w:marRight w:val="0"/>
      <w:marTop w:val="0"/>
      <w:marBottom w:val="0"/>
      <w:divBdr>
        <w:top w:val="none" w:sz="0" w:space="0" w:color="auto"/>
        <w:left w:val="none" w:sz="0" w:space="0" w:color="auto"/>
        <w:bottom w:val="none" w:sz="0" w:space="0" w:color="auto"/>
        <w:right w:val="none" w:sz="0" w:space="0" w:color="auto"/>
      </w:divBdr>
      <w:divsChild>
        <w:div w:id="1410883331">
          <w:marLeft w:val="0"/>
          <w:marRight w:val="0"/>
          <w:marTop w:val="0"/>
          <w:marBottom w:val="0"/>
          <w:divBdr>
            <w:top w:val="none" w:sz="0" w:space="0" w:color="auto"/>
            <w:left w:val="none" w:sz="0" w:space="0" w:color="auto"/>
            <w:bottom w:val="none" w:sz="0" w:space="0" w:color="auto"/>
            <w:right w:val="none" w:sz="0" w:space="0" w:color="auto"/>
          </w:divBdr>
          <w:divsChild>
            <w:div w:id="10864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5393">
      <w:bodyDiv w:val="1"/>
      <w:marLeft w:val="0"/>
      <w:marRight w:val="0"/>
      <w:marTop w:val="0"/>
      <w:marBottom w:val="0"/>
      <w:divBdr>
        <w:top w:val="none" w:sz="0" w:space="0" w:color="auto"/>
        <w:left w:val="none" w:sz="0" w:space="0" w:color="auto"/>
        <w:bottom w:val="none" w:sz="0" w:space="0" w:color="auto"/>
        <w:right w:val="none" w:sz="0" w:space="0" w:color="auto"/>
      </w:divBdr>
      <w:divsChild>
        <w:div w:id="315451795">
          <w:marLeft w:val="0"/>
          <w:marRight w:val="0"/>
          <w:marTop w:val="0"/>
          <w:marBottom w:val="0"/>
          <w:divBdr>
            <w:top w:val="none" w:sz="0" w:space="0" w:color="auto"/>
            <w:left w:val="none" w:sz="0" w:space="0" w:color="auto"/>
            <w:bottom w:val="none" w:sz="0" w:space="0" w:color="auto"/>
            <w:right w:val="none" w:sz="0" w:space="0" w:color="auto"/>
          </w:divBdr>
          <w:divsChild>
            <w:div w:id="185216490">
              <w:marLeft w:val="0"/>
              <w:marRight w:val="0"/>
              <w:marTop w:val="0"/>
              <w:marBottom w:val="0"/>
              <w:divBdr>
                <w:top w:val="none" w:sz="0" w:space="0" w:color="auto"/>
                <w:left w:val="none" w:sz="0" w:space="0" w:color="auto"/>
                <w:bottom w:val="none" w:sz="0" w:space="0" w:color="auto"/>
                <w:right w:val="none" w:sz="0" w:space="0" w:color="auto"/>
              </w:divBdr>
            </w:div>
            <w:div w:id="1881622919">
              <w:marLeft w:val="0"/>
              <w:marRight w:val="0"/>
              <w:marTop w:val="0"/>
              <w:marBottom w:val="0"/>
              <w:divBdr>
                <w:top w:val="none" w:sz="0" w:space="0" w:color="auto"/>
                <w:left w:val="none" w:sz="0" w:space="0" w:color="auto"/>
                <w:bottom w:val="none" w:sz="0" w:space="0" w:color="auto"/>
                <w:right w:val="none" w:sz="0" w:space="0" w:color="auto"/>
              </w:divBdr>
            </w:div>
            <w:div w:id="783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2048">
      <w:bodyDiv w:val="1"/>
      <w:marLeft w:val="0"/>
      <w:marRight w:val="0"/>
      <w:marTop w:val="0"/>
      <w:marBottom w:val="0"/>
      <w:divBdr>
        <w:top w:val="none" w:sz="0" w:space="0" w:color="auto"/>
        <w:left w:val="none" w:sz="0" w:space="0" w:color="auto"/>
        <w:bottom w:val="none" w:sz="0" w:space="0" w:color="auto"/>
        <w:right w:val="none" w:sz="0" w:space="0" w:color="auto"/>
      </w:divBdr>
      <w:divsChild>
        <w:div w:id="1735859448">
          <w:marLeft w:val="0"/>
          <w:marRight w:val="0"/>
          <w:marTop w:val="0"/>
          <w:marBottom w:val="0"/>
          <w:divBdr>
            <w:top w:val="none" w:sz="0" w:space="0" w:color="auto"/>
            <w:left w:val="none" w:sz="0" w:space="0" w:color="auto"/>
            <w:bottom w:val="none" w:sz="0" w:space="0" w:color="auto"/>
            <w:right w:val="none" w:sz="0" w:space="0" w:color="auto"/>
          </w:divBdr>
          <w:divsChild>
            <w:div w:id="858160062">
              <w:marLeft w:val="0"/>
              <w:marRight w:val="0"/>
              <w:marTop w:val="0"/>
              <w:marBottom w:val="0"/>
              <w:divBdr>
                <w:top w:val="none" w:sz="0" w:space="0" w:color="auto"/>
                <w:left w:val="none" w:sz="0" w:space="0" w:color="auto"/>
                <w:bottom w:val="none" w:sz="0" w:space="0" w:color="auto"/>
                <w:right w:val="none" w:sz="0" w:space="0" w:color="auto"/>
              </w:divBdr>
            </w:div>
          </w:divsChild>
        </w:div>
        <w:div w:id="1717897624">
          <w:marLeft w:val="0"/>
          <w:marRight w:val="0"/>
          <w:marTop w:val="0"/>
          <w:marBottom w:val="0"/>
          <w:divBdr>
            <w:top w:val="none" w:sz="0" w:space="0" w:color="auto"/>
            <w:left w:val="none" w:sz="0" w:space="0" w:color="auto"/>
            <w:bottom w:val="none" w:sz="0" w:space="0" w:color="auto"/>
            <w:right w:val="none" w:sz="0" w:space="0" w:color="auto"/>
          </w:divBdr>
          <w:divsChild>
            <w:div w:id="1438404363">
              <w:marLeft w:val="0"/>
              <w:marRight w:val="0"/>
              <w:marTop w:val="0"/>
              <w:marBottom w:val="0"/>
              <w:divBdr>
                <w:top w:val="none" w:sz="0" w:space="0" w:color="auto"/>
                <w:left w:val="none" w:sz="0" w:space="0" w:color="auto"/>
                <w:bottom w:val="none" w:sz="0" w:space="0" w:color="auto"/>
                <w:right w:val="none" w:sz="0" w:space="0" w:color="auto"/>
              </w:divBdr>
            </w:div>
            <w:div w:id="2143843596">
              <w:marLeft w:val="0"/>
              <w:marRight w:val="0"/>
              <w:marTop w:val="0"/>
              <w:marBottom w:val="0"/>
              <w:divBdr>
                <w:top w:val="none" w:sz="0" w:space="0" w:color="auto"/>
                <w:left w:val="none" w:sz="0" w:space="0" w:color="auto"/>
                <w:bottom w:val="none" w:sz="0" w:space="0" w:color="auto"/>
                <w:right w:val="none" w:sz="0" w:space="0" w:color="auto"/>
              </w:divBdr>
            </w:div>
            <w:div w:id="289677063">
              <w:marLeft w:val="0"/>
              <w:marRight w:val="0"/>
              <w:marTop w:val="0"/>
              <w:marBottom w:val="0"/>
              <w:divBdr>
                <w:top w:val="none" w:sz="0" w:space="0" w:color="auto"/>
                <w:left w:val="none" w:sz="0" w:space="0" w:color="auto"/>
                <w:bottom w:val="none" w:sz="0" w:space="0" w:color="auto"/>
                <w:right w:val="none" w:sz="0" w:space="0" w:color="auto"/>
              </w:divBdr>
            </w:div>
            <w:div w:id="1727333742">
              <w:marLeft w:val="0"/>
              <w:marRight w:val="0"/>
              <w:marTop w:val="0"/>
              <w:marBottom w:val="0"/>
              <w:divBdr>
                <w:top w:val="none" w:sz="0" w:space="0" w:color="auto"/>
                <w:left w:val="none" w:sz="0" w:space="0" w:color="auto"/>
                <w:bottom w:val="none" w:sz="0" w:space="0" w:color="auto"/>
                <w:right w:val="none" w:sz="0" w:space="0" w:color="auto"/>
              </w:divBdr>
            </w:div>
          </w:divsChild>
        </w:div>
        <w:div w:id="599602153">
          <w:marLeft w:val="0"/>
          <w:marRight w:val="0"/>
          <w:marTop w:val="0"/>
          <w:marBottom w:val="0"/>
          <w:divBdr>
            <w:top w:val="none" w:sz="0" w:space="0" w:color="auto"/>
            <w:left w:val="none" w:sz="0" w:space="0" w:color="auto"/>
            <w:bottom w:val="none" w:sz="0" w:space="0" w:color="auto"/>
            <w:right w:val="none" w:sz="0" w:space="0" w:color="auto"/>
          </w:divBdr>
          <w:divsChild>
            <w:div w:id="187257059">
              <w:marLeft w:val="0"/>
              <w:marRight w:val="0"/>
              <w:marTop w:val="0"/>
              <w:marBottom w:val="0"/>
              <w:divBdr>
                <w:top w:val="none" w:sz="0" w:space="0" w:color="auto"/>
                <w:left w:val="none" w:sz="0" w:space="0" w:color="auto"/>
                <w:bottom w:val="none" w:sz="0" w:space="0" w:color="auto"/>
                <w:right w:val="none" w:sz="0" w:space="0" w:color="auto"/>
              </w:divBdr>
            </w:div>
          </w:divsChild>
        </w:div>
        <w:div w:id="1580485800">
          <w:marLeft w:val="0"/>
          <w:marRight w:val="0"/>
          <w:marTop w:val="0"/>
          <w:marBottom w:val="0"/>
          <w:divBdr>
            <w:top w:val="none" w:sz="0" w:space="0" w:color="auto"/>
            <w:left w:val="none" w:sz="0" w:space="0" w:color="auto"/>
            <w:bottom w:val="none" w:sz="0" w:space="0" w:color="auto"/>
            <w:right w:val="none" w:sz="0" w:space="0" w:color="auto"/>
          </w:divBdr>
          <w:divsChild>
            <w:div w:id="328756708">
              <w:marLeft w:val="0"/>
              <w:marRight w:val="0"/>
              <w:marTop w:val="0"/>
              <w:marBottom w:val="0"/>
              <w:divBdr>
                <w:top w:val="none" w:sz="0" w:space="0" w:color="auto"/>
                <w:left w:val="none" w:sz="0" w:space="0" w:color="auto"/>
                <w:bottom w:val="none" w:sz="0" w:space="0" w:color="auto"/>
                <w:right w:val="none" w:sz="0" w:space="0" w:color="auto"/>
              </w:divBdr>
            </w:div>
          </w:divsChild>
        </w:div>
        <w:div w:id="1382361726">
          <w:marLeft w:val="0"/>
          <w:marRight w:val="0"/>
          <w:marTop w:val="0"/>
          <w:marBottom w:val="0"/>
          <w:divBdr>
            <w:top w:val="none" w:sz="0" w:space="0" w:color="auto"/>
            <w:left w:val="none" w:sz="0" w:space="0" w:color="auto"/>
            <w:bottom w:val="none" w:sz="0" w:space="0" w:color="auto"/>
            <w:right w:val="none" w:sz="0" w:space="0" w:color="auto"/>
          </w:divBdr>
          <w:divsChild>
            <w:div w:id="1790666261">
              <w:marLeft w:val="0"/>
              <w:marRight w:val="0"/>
              <w:marTop w:val="0"/>
              <w:marBottom w:val="0"/>
              <w:divBdr>
                <w:top w:val="none" w:sz="0" w:space="0" w:color="auto"/>
                <w:left w:val="none" w:sz="0" w:space="0" w:color="auto"/>
                <w:bottom w:val="none" w:sz="0" w:space="0" w:color="auto"/>
                <w:right w:val="none" w:sz="0" w:space="0" w:color="auto"/>
              </w:divBdr>
            </w:div>
            <w:div w:id="1690058688">
              <w:marLeft w:val="0"/>
              <w:marRight w:val="0"/>
              <w:marTop w:val="0"/>
              <w:marBottom w:val="0"/>
              <w:divBdr>
                <w:top w:val="none" w:sz="0" w:space="0" w:color="auto"/>
                <w:left w:val="none" w:sz="0" w:space="0" w:color="auto"/>
                <w:bottom w:val="none" w:sz="0" w:space="0" w:color="auto"/>
                <w:right w:val="none" w:sz="0" w:space="0" w:color="auto"/>
              </w:divBdr>
            </w:div>
          </w:divsChild>
        </w:div>
        <w:div w:id="337852236">
          <w:marLeft w:val="0"/>
          <w:marRight w:val="0"/>
          <w:marTop w:val="0"/>
          <w:marBottom w:val="0"/>
          <w:divBdr>
            <w:top w:val="none" w:sz="0" w:space="0" w:color="auto"/>
            <w:left w:val="none" w:sz="0" w:space="0" w:color="auto"/>
            <w:bottom w:val="none" w:sz="0" w:space="0" w:color="auto"/>
            <w:right w:val="none" w:sz="0" w:space="0" w:color="auto"/>
          </w:divBdr>
          <w:divsChild>
            <w:div w:id="961301727">
              <w:marLeft w:val="0"/>
              <w:marRight w:val="0"/>
              <w:marTop w:val="0"/>
              <w:marBottom w:val="0"/>
              <w:divBdr>
                <w:top w:val="none" w:sz="0" w:space="0" w:color="auto"/>
                <w:left w:val="none" w:sz="0" w:space="0" w:color="auto"/>
                <w:bottom w:val="none" w:sz="0" w:space="0" w:color="auto"/>
                <w:right w:val="none" w:sz="0" w:space="0" w:color="auto"/>
              </w:divBdr>
            </w:div>
          </w:divsChild>
        </w:div>
        <w:div w:id="351493500">
          <w:marLeft w:val="0"/>
          <w:marRight w:val="0"/>
          <w:marTop w:val="0"/>
          <w:marBottom w:val="0"/>
          <w:divBdr>
            <w:top w:val="none" w:sz="0" w:space="0" w:color="auto"/>
            <w:left w:val="none" w:sz="0" w:space="0" w:color="auto"/>
            <w:bottom w:val="none" w:sz="0" w:space="0" w:color="auto"/>
            <w:right w:val="none" w:sz="0" w:space="0" w:color="auto"/>
          </w:divBdr>
          <w:divsChild>
            <w:div w:id="62533756">
              <w:marLeft w:val="0"/>
              <w:marRight w:val="0"/>
              <w:marTop w:val="0"/>
              <w:marBottom w:val="0"/>
              <w:divBdr>
                <w:top w:val="none" w:sz="0" w:space="0" w:color="auto"/>
                <w:left w:val="none" w:sz="0" w:space="0" w:color="auto"/>
                <w:bottom w:val="none" w:sz="0" w:space="0" w:color="auto"/>
                <w:right w:val="none" w:sz="0" w:space="0" w:color="auto"/>
              </w:divBdr>
            </w:div>
          </w:divsChild>
        </w:div>
        <w:div w:id="2090349540">
          <w:marLeft w:val="0"/>
          <w:marRight w:val="0"/>
          <w:marTop w:val="0"/>
          <w:marBottom w:val="0"/>
          <w:divBdr>
            <w:top w:val="none" w:sz="0" w:space="0" w:color="auto"/>
            <w:left w:val="none" w:sz="0" w:space="0" w:color="auto"/>
            <w:bottom w:val="none" w:sz="0" w:space="0" w:color="auto"/>
            <w:right w:val="none" w:sz="0" w:space="0" w:color="auto"/>
          </w:divBdr>
          <w:divsChild>
            <w:div w:id="1916889692">
              <w:marLeft w:val="0"/>
              <w:marRight w:val="0"/>
              <w:marTop w:val="0"/>
              <w:marBottom w:val="0"/>
              <w:divBdr>
                <w:top w:val="none" w:sz="0" w:space="0" w:color="auto"/>
                <w:left w:val="none" w:sz="0" w:space="0" w:color="auto"/>
                <w:bottom w:val="none" w:sz="0" w:space="0" w:color="auto"/>
                <w:right w:val="none" w:sz="0" w:space="0" w:color="auto"/>
              </w:divBdr>
            </w:div>
            <w:div w:id="2134640143">
              <w:marLeft w:val="0"/>
              <w:marRight w:val="0"/>
              <w:marTop w:val="0"/>
              <w:marBottom w:val="0"/>
              <w:divBdr>
                <w:top w:val="none" w:sz="0" w:space="0" w:color="auto"/>
                <w:left w:val="none" w:sz="0" w:space="0" w:color="auto"/>
                <w:bottom w:val="none" w:sz="0" w:space="0" w:color="auto"/>
                <w:right w:val="none" w:sz="0" w:space="0" w:color="auto"/>
              </w:divBdr>
            </w:div>
          </w:divsChild>
        </w:div>
        <w:div w:id="96878231">
          <w:marLeft w:val="0"/>
          <w:marRight w:val="0"/>
          <w:marTop w:val="0"/>
          <w:marBottom w:val="0"/>
          <w:divBdr>
            <w:top w:val="none" w:sz="0" w:space="0" w:color="auto"/>
            <w:left w:val="none" w:sz="0" w:space="0" w:color="auto"/>
            <w:bottom w:val="none" w:sz="0" w:space="0" w:color="auto"/>
            <w:right w:val="none" w:sz="0" w:space="0" w:color="auto"/>
          </w:divBdr>
          <w:divsChild>
            <w:div w:id="14920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mastery-learning" TargetMode="External"/><Relationship Id="rId17" Type="http://schemas.openxmlformats.org/officeDocument/2006/relationships/hyperlink" Target="https://educationendowmentfoundation.org.uk/education-evidence/teaching-learning-toolkit/one-to-one-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ral-language-interventions" TargetMode="External"/><Relationship Id="rId20"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hyperlink" Target="https://www.gov.uk/government/publications/working-together-to-improve-school-atten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extending-school-ti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0C9DD2BEE2C47B80764908CD775DF" ma:contentTypeVersion="17" ma:contentTypeDescription="Create a new document." ma:contentTypeScope="" ma:versionID="52394c36afaff3ba6a00a871fe36d65f">
  <xsd:schema xmlns:xsd="http://www.w3.org/2001/XMLSchema" xmlns:xs="http://www.w3.org/2001/XMLSchema" xmlns:p="http://schemas.microsoft.com/office/2006/metadata/properties" xmlns:ns3="0025bbce-0ad6-46d6-b94a-9e33851355db" xmlns:ns4="0f0b8e28-25ca-4c3d-8c2b-2b6662a43b1d" targetNamespace="http://schemas.microsoft.com/office/2006/metadata/properties" ma:root="true" ma:fieldsID="6bd477f0d5289f7187f6d73119478260" ns3:_="" ns4:_="">
    <xsd:import namespace="0025bbce-0ad6-46d6-b94a-9e33851355db"/>
    <xsd:import namespace="0f0b8e28-25ca-4c3d-8c2b-2b6662a43b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5bbce-0ad6-46d6-b94a-9e33851355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b8e28-25ca-4c3d-8c2b-2b6662a43b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0b8e28-25ca-4c3d-8c2b-2b6662a43b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02500-1A7B-480B-A639-1785DA6C9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5bbce-0ad6-46d6-b94a-9e33851355db"/>
    <ds:schemaRef ds:uri="0f0b8e28-25ca-4c3d-8c2b-2b6662a43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82936-1BAD-4FBF-B209-6B05369B3CF2}">
  <ds:schemaRefs>
    <ds:schemaRef ds:uri="http://schemas.microsoft.com/office/2006/metadata/properties"/>
    <ds:schemaRef ds:uri="http://schemas.microsoft.com/office/infopath/2007/PartnerControls"/>
    <ds:schemaRef ds:uri="0f0b8e28-25ca-4c3d-8c2b-2b6662a43b1d"/>
  </ds:schemaRefs>
</ds:datastoreItem>
</file>

<file path=customXml/itemProps3.xml><?xml version="1.0" encoding="utf-8"?>
<ds:datastoreItem xmlns:ds="http://schemas.openxmlformats.org/officeDocument/2006/customXml" ds:itemID="{5D2E323B-63AE-4409-8985-1A7650A30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3265</Words>
  <Characters>18612</Characters>
  <Application>Microsoft Office Word</Application>
  <DocSecurity>0</DocSecurity>
  <Lines>155</Lines>
  <Paragraphs>43</Paragraphs>
  <ScaleCrop>false</ScaleCrop>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Kara Newton - Hoole CE Bursar</cp:lastModifiedBy>
  <cp:revision>4</cp:revision>
  <cp:lastPrinted>2014-09-17T21:26:00Z</cp:lastPrinted>
  <dcterms:created xsi:type="dcterms:W3CDTF">2023-11-21T11:51:00Z</dcterms:created>
  <dcterms:modified xsi:type="dcterms:W3CDTF">2023-11-22T09:55:00Z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0x010100A310C9DD2BEE2C47B80764908CD775DF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